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40" w:line="300" w:lineRule="auto"/>
      </w:pPr>
      <w:r>
        <w:rPr>
          <w:rFonts w:ascii="Arial" w:hAnsi="Arial" w:cs="Arial"/>
          <w:b/>
          <w:i w:val="0"/>
          <w:color w:val="B08D57"/>
          <w:sz w:val="20"/>
          <w:rtl/>
          <w:szCs w:val="20"/>
          <w:bCs/>
        </w:rPr>
        <w:t>مجلة المحاسب العربي</w:t>
      </w:r>
    </w:p>
    <w:p>
      <w:pPr>
        <w:bidi/>
        <w:spacing w:before="0" w:after="80" w:line="300" w:lineRule="auto"/>
        <w:pBdr>
          <w:bottom w:val="single" w:sz="18" w:space="4" w:color="B08D57"/>
        </w:pBdr>
      </w:pPr>
      <w:r>
        <w:rPr>
          <w:rFonts w:ascii="Arial" w:hAnsi="Arial" w:cs="Arial"/>
          <w:b/>
          <w:i w:val="0"/>
          <w:color w:val="14213D"/>
          <w:sz w:val="44"/>
          <w:rtl/>
          <w:szCs w:val="44"/>
          <w:bCs/>
        </w:rPr>
        <w:t>دليل السياسات والإجراءات المالية</w:t>
      </w:r>
    </w:p>
    <w:p>
      <w:pPr>
        <w:bidi/>
        <w:spacing w:before="80" w:after="200" w:line="300" w:lineRule="auto"/>
      </w:pPr>
      <w:r>
        <w:rPr>
          <w:rFonts w:ascii="Arial" w:hAnsi="Arial" w:cs="Arial"/>
          <w:b w:val="0"/>
          <w:i w:val="0"/>
          <w:color w:val="595959"/>
          <w:sz w:val="23"/>
          <w:rtl/>
          <w:szCs w:val="23"/>
        </w:rPr>
        <w:t>نموذج دليل لشركة صغيرة أو متوسطة: الصلاحيات، والخزينة والبنوك، والمشتريات، والمبيعات والتحصيل، والمخزون، والأصول، والرواتب، والإقفال والتقارير.</w:t>
      </w:r>
    </w:p>
    <w:tbl>
      <w:tblPr>
        <w:tblStyle w:val="TableGrid"/>
        <w:tblW w:type="auto" w:w="0"/>
        <w:jc w:val="center"/>
        <w:tblLook w:firstColumn="1" w:firstRow="1" w:lastColumn="0" w:lastRow="0" w:noHBand="0" w:noVBand="1" w:val="04A0"/>
        <w:bidiVisual/>
      </w:tblPr>
      <w:tblGrid>
        <w:gridCol w:w="9638"/>
      </w:tblGrid>
      <w:tr>
        <w:tc>
          <w:tcPr>
            <w:tcW w:type="dxa" w:w="9638"/>
            <w:shd w:val="clear" w:color="auto" w:fill="F3F4F7"/>
          </w:tcPr>
          <w:p>
            <w:pPr>
              <w:bidi/>
            </w:pPr>
            <w:r>
              <w:rPr>
                <w:rFonts w:ascii="Arial" w:hAnsi="Arial" w:cs="Arial"/>
                <w:b/>
                <w:i w:val="0"/>
                <w:color w:val="14213D"/>
                <w:sz w:val="22"/>
                <w:rtl/>
                <w:szCs w:val="22"/>
                <w:bCs/>
              </w:rPr>
              <w:t>كيف تستخدم هذا النموذج</w:t>
            </w:r>
          </w:p>
          <w:p>
            <w:pPr>
              <w:bidi/>
              <w:spacing w:after="40"/>
            </w:pPr>
            <w:r>
              <w:rPr>
                <w:rFonts w:ascii="Arial" w:hAnsi="Arial" w:cs="Arial"/>
                <w:b w:val="0"/>
                <w:i w:val="0"/>
                <w:color w:val="000000"/>
                <w:sz w:val="20"/>
                <w:rtl/>
                <w:szCs w:val="20"/>
              </w:rPr>
              <w:t>•  استبدل كل ما بين القوسين [ ] ببيانات شركتك، مثل [اسم الشركة] و[المدير المالي].</w:t>
            </w:r>
          </w:p>
          <w:p>
            <w:pPr>
              <w:bidi/>
              <w:spacing w:after="40"/>
            </w:pPr>
            <w:r>
              <w:rPr>
                <w:rFonts w:ascii="Arial" w:hAnsi="Arial" w:cs="Arial"/>
                <w:b w:val="0"/>
                <w:i w:val="0"/>
                <w:color w:val="000000"/>
                <w:sz w:val="20"/>
                <w:rtl/>
                <w:szCs w:val="20"/>
              </w:rPr>
              <w:t>•  النصوص صيغة استرشادية؛ احذف ما لا ينطبق عليك وأضف ما تحتاجه، واعرضها على مستشارك القانوني قبل الاعتماد.</w:t>
            </w:r>
          </w:p>
          <w:p>
            <w:pPr>
              <w:bidi/>
              <w:spacing w:after="40"/>
            </w:pPr>
            <w:r>
              <w:rPr>
                <w:rFonts w:ascii="Arial" w:hAnsi="Arial" w:cs="Arial"/>
                <w:b w:val="0"/>
                <w:i w:val="0"/>
                <w:color w:val="000000"/>
                <w:sz w:val="20"/>
                <w:rtl/>
                <w:szCs w:val="20"/>
              </w:rPr>
              <w:t>•  الحدود والمبالغ والنسب المكتوبة أمثلة فقط؛ حدّدها بقرار من الإدارة.</w:t>
            </w:r>
          </w:p>
        </w:tc>
      </w:tr>
    </w:tbl>
    <w:p>
      <w:pPr>
        <w:bidi/>
        <w:spacing w:before="0" w:after="80" w:line="300" w:lineRule="auto"/>
      </w:pPr>
    </w:p>
    <w:p>
      <w:pPr>
        <w:bidi/>
        <w:spacing w:before="280" w:after="120" w:line="300" w:lineRule="auto"/>
        <w:pBdr>
          <w:bottom w:val="single" w:sz="8" w:space="4" w:color="B08D57"/>
        </w:pBdr>
      </w:pPr>
      <w:r>
        <w:rPr>
          <w:rFonts w:ascii="Arial" w:hAnsi="Arial" w:cs="Arial"/>
          <w:b/>
          <w:i w:val="0"/>
          <w:color w:val="14213D"/>
          <w:sz w:val="30"/>
          <w:rtl/>
          <w:szCs w:val="30"/>
          <w:bCs/>
        </w:rPr>
        <w:t>1. مقدمة ونطاق التطبيق</w:t>
      </w:r>
    </w:p>
    <w:p>
      <w:pPr>
        <w:bidi/>
        <w:spacing w:before="0" w:after="120" w:line="300" w:lineRule="auto"/>
        <w:jc w:val="both"/>
      </w:pPr>
      <w:r>
        <w:rPr>
          <w:rFonts w:ascii="Arial" w:hAnsi="Arial" w:cs="Arial"/>
          <w:b w:val="0"/>
          <w:i w:val="0"/>
          <w:color w:val="000000"/>
          <w:sz w:val="22"/>
          <w:rtl/>
          <w:szCs w:val="22"/>
        </w:rPr>
        <w:t>يحدد هذا الدليل القواعد التي تحكم العمليات المالية في [اسم الشركة]، ويهدف إلى حماية أصول الشركة، وضمان دقة السجلات المحاسبية، والالتزام بالقوانين والمعايير المحاسبية المطبقة، وتوضيح المسؤوليات والصلاحيات لكل مستوى إداري.</w:t>
      </w:r>
    </w:p>
    <w:p>
      <w:pPr>
        <w:bidi/>
        <w:spacing w:before="0" w:after="120" w:line="300" w:lineRule="auto"/>
        <w:jc w:val="both"/>
      </w:pPr>
      <w:r>
        <w:rPr>
          <w:rFonts w:ascii="Arial" w:hAnsi="Arial" w:cs="Arial"/>
          <w:b w:val="0"/>
          <w:i w:val="0"/>
          <w:color w:val="000000"/>
          <w:sz w:val="22"/>
          <w:rtl/>
          <w:szCs w:val="22"/>
        </w:rPr>
        <w:t>يسري الدليل على جميع الإدارات والفروع والعاملين، ويُعد جزءًا من نظام الرقابة الداخلية. ويُراجع مرة كل سنة على الأقل أو عند تغير حجم النشاط أو الأنظمة، ويعتمد أي تعديل عليه من [مجلس الإدارة / المدير العام].</w:t>
      </w:r>
    </w:p>
    <w:p>
      <w:pPr>
        <w:bidi/>
        <w:spacing w:before="160" w:after="80" w:line="300" w:lineRule="auto"/>
      </w:pPr>
      <w:r>
        <w:rPr>
          <w:rFonts w:ascii="Arial" w:hAnsi="Arial" w:cs="Arial"/>
          <w:b/>
          <w:i w:val="0"/>
          <w:color w:val="14213D"/>
          <w:sz w:val="25"/>
          <w:rtl/>
          <w:szCs w:val="25"/>
          <w:bCs/>
        </w:rPr>
        <w:t>المبادئ العامة</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الفصل بين المهام: لا يجمع شخص واحد بين اعتماد العملية وتنفيذها وتسجيلها وحفظ الأصل المتعلق بها.</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لا تُسجل عملية في الدفاتر إلا بمستند مؤيد معتمد من صاحب الصلاحية.</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تُستخدم المستندات المرقمة مسبقًا (سندات القبض والصرف، أوامر الشراء، الفواتير) ويُحتفظ بالتالف منها.</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تُطبق المعايير المحاسبية المعتمدة في [الدولة] وسياسات الشركة المكتوبة بثبات من فترة لأخرى.</w:t>
      </w:r>
    </w:p>
    <w:p>
      <w:pPr>
        <w:bidi/>
        <w:spacing w:before="280" w:after="120" w:line="300" w:lineRule="auto"/>
        <w:pBdr>
          <w:bottom w:val="single" w:sz="8" w:space="4" w:color="B08D57"/>
        </w:pBdr>
      </w:pPr>
      <w:r>
        <w:rPr>
          <w:rFonts w:ascii="Arial" w:hAnsi="Arial" w:cs="Arial"/>
          <w:b/>
          <w:i w:val="0"/>
          <w:color w:val="14213D"/>
          <w:sz w:val="30"/>
          <w:rtl/>
          <w:szCs w:val="30"/>
          <w:bCs/>
        </w:rPr>
        <w:t>2. الصلاحيات المالية</w:t>
      </w:r>
    </w:p>
    <w:p>
      <w:pPr>
        <w:bidi/>
        <w:spacing w:before="0" w:after="120" w:line="300" w:lineRule="auto"/>
        <w:jc w:val="both"/>
      </w:pPr>
      <w:r>
        <w:rPr>
          <w:rFonts w:ascii="Arial" w:hAnsi="Arial" w:cs="Arial"/>
          <w:b w:val="0"/>
          <w:i w:val="0"/>
          <w:color w:val="000000"/>
          <w:sz w:val="22"/>
          <w:rtl/>
          <w:szCs w:val="22"/>
        </w:rPr>
        <w:t>لا يجوز الالتزام بأي مبلغ أو صرفه إلا في حدود الصلاحيات الآتية. وتُحسب الصلاحية على قيمة العملية كاملة، ولا يجوز تجزئة العملية الواحدة للبقاء داخل حد صلاحية أقل.</w:t>
      </w:r>
    </w:p>
    <w:tbl>
      <w:tblPr>
        <w:tblStyle w:val="TableGrid"/>
        <w:tblW w:type="auto" w:w="0"/>
        <w:jc w:val="center"/>
        <w:tblLook w:firstColumn="1" w:firstRow="1" w:lastColumn="0" w:lastRow="0" w:noHBand="0" w:noVBand="1" w:val="04A0"/>
        <w:bidiVisual/>
      </w:tblPr>
      <w:tblGrid>
        <w:gridCol w:w="1928"/>
        <w:gridCol w:w="1928"/>
        <w:gridCol w:w="1928"/>
        <w:gridCol w:w="1928"/>
        <w:gridCol w:w="1928"/>
      </w:tblGrid>
      <w:tr>
        <w:tc>
          <w:tcPr>
            <w:tcW w:type="dxa" w:w="2551"/>
            <w:shd w:val="clear" w:color="auto" w:fill="14213D"/>
          </w:tcPr>
          <w:p>
            <w:pPr>
              <w:bidi/>
              <w:spacing w:after="20"/>
            </w:pPr>
            <w:r>
              <w:rPr>
                <w:rFonts w:ascii="Arial" w:hAnsi="Arial" w:cs="Arial"/>
                <w:b/>
                <w:i w:val="0"/>
                <w:color w:val="FFFFFF"/>
                <w:sz w:val="20"/>
                <w:rtl/>
                <w:szCs w:val="20"/>
                <w:bCs/>
              </w:rPr>
              <w:t>نوع العملية</w:t>
            </w:r>
          </w:p>
        </w:tc>
        <w:tc>
          <w:tcPr>
            <w:tcW w:type="dxa" w:w="1587"/>
            <w:shd w:val="clear" w:color="auto" w:fill="14213D"/>
          </w:tcPr>
          <w:p>
            <w:pPr>
              <w:bidi/>
              <w:spacing w:after="20"/>
            </w:pPr>
            <w:r>
              <w:rPr>
                <w:rFonts w:ascii="Arial" w:hAnsi="Arial" w:cs="Arial"/>
                <w:b/>
                <w:i w:val="0"/>
                <w:color w:val="FFFFFF"/>
                <w:sz w:val="20"/>
                <w:rtl/>
                <w:szCs w:val="20"/>
                <w:bCs/>
              </w:rPr>
              <w:t>رئيس القسم</w:t>
            </w:r>
          </w:p>
        </w:tc>
        <w:tc>
          <w:tcPr>
            <w:tcW w:type="dxa" w:w="1587"/>
            <w:shd w:val="clear" w:color="auto" w:fill="14213D"/>
          </w:tcPr>
          <w:p>
            <w:pPr>
              <w:bidi/>
              <w:spacing w:after="20"/>
            </w:pPr>
            <w:r>
              <w:rPr>
                <w:rFonts w:ascii="Arial" w:hAnsi="Arial" w:cs="Arial"/>
                <w:b/>
                <w:i w:val="0"/>
                <w:color w:val="FFFFFF"/>
                <w:sz w:val="20"/>
                <w:rtl/>
                <w:szCs w:val="20"/>
                <w:bCs/>
              </w:rPr>
              <w:t>المدير المالي</w:t>
            </w:r>
          </w:p>
        </w:tc>
        <w:tc>
          <w:tcPr>
            <w:tcW w:type="dxa" w:w="1587"/>
            <w:shd w:val="clear" w:color="auto" w:fill="14213D"/>
          </w:tcPr>
          <w:p>
            <w:pPr>
              <w:bidi/>
              <w:spacing w:after="20"/>
            </w:pPr>
            <w:r>
              <w:rPr>
                <w:rFonts w:ascii="Arial" w:hAnsi="Arial" w:cs="Arial"/>
                <w:b/>
                <w:i w:val="0"/>
                <w:color w:val="FFFFFF"/>
                <w:sz w:val="20"/>
                <w:rtl/>
                <w:szCs w:val="20"/>
                <w:bCs/>
              </w:rPr>
              <w:t>المدير العام</w:t>
            </w:r>
          </w:p>
        </w:tc>
        <w:tc>
          <w:tcPr>
            <w:tcW w:type="dxa" w:w="1757"/>
            <w:shd w:val="clear" w:color="auto" w:fill="14213D"/>
          </w:tcPr>
          <w:p>
            <w:pPr>
              <w:bidi/>
              <w:spacing w:after="20"/>
            </w:pPr>
            <w:r>
              <w:rPr>
                <w:rFonts w:ascii="Arial" w:hAnsi="Arial" w:cs="Arial"/>
                <w:b/>
                <w:i w:val="0"/>
                <w:color w:val="FFFFFF"/>
                <w:sz w:val="20"/>
                <w:rtl/>
                <w:szCs w:val="20"/>
                <w:bCs/>
              </w:rPr>
              <w:t>مجلس الإدارة</w:t>
            </w:r>
          </w:p>
        </w:tc>
      </w:tr>
      <w:tr>
        <w:tc>
          <w:tcPr>
            <w:tcW w:type="dxa" w:w="2551"/>
          </w:tcPr>
          <w:p>
            <w:pPr>
              <w:bidi/>
              <w:spacing w:after="20"/>
            </w:pPr>
            <w:r>
              <w:rPr>
                <w:rFonts w:ascii="Arial" w:hAnsi="Arial" w:cs="Arial"/>
                <w:b w:val="0"/>
                <w:i w:val="0"/>
                <w:color w:val="000000"/>
                <w:sz w:val="20"/>
                <w:rtl/>
                <w:szCs w:val="20"/>
              </w:rPr>
              <w:t>المصروفات التشغيلية</w:t>
            </w:r>
          </w:p>
        </w:tc>
        <w:tc>
          <w:tcPr>
            <w:tcW w:type="dxa" w:w="1587"/>
          </w:tcPr>
          <w:p>
            <w:pPr>
              <w:bidi/>
              <w:spacing w:after="20"/>
            </w:pPr>
            <w:r>
              <w:rPr>
                <w:rFonts w:ascii="Arial" w:hAnsi="Arial" w:cs="Arial"/>
                <w:b w:val="0"/>
                <w:i w:val="0"/>
                <w:color w:val="000000"/>
                <w:sz w:val="20"/>
                <w:rtl/>
                <w:szCs w:val="20"/>
              </w:rPr>
              <w:t>حتى 5,000</w:t>
            </w:r>
          </w:p>
        </w:tc>
        <w:tc>
          <w:tcPr>
            <w:tcW w:type="dxa" w:w="1587"/>
          </w:tcPr>
          <w:p>
            <w:pPr>
              <w:bidi/>
              <w:spacing w:after="20"/>
            </w:pPr>
            <w:r>
              <w:rPr>
                <w:rFonts w:ascii="Arial" w:hAnsi="Arial" w:cs="Arial"/>
                <w:b w:val="0"/>
                <w:i w:val="0"/>
                <w:color w:val="000000"/>
                <w:sz w:val="20"/>
                <w:rtl/>
                <w:szCs w:val="20"/>
              </w:rPr>
              <w:t>حتى 50,000</w:t>
            </w:r>
          </w:p>
        </w:tc>
        <w:tc>
          <w:tcPr>
            <w:tcW w:type="dxa" w:w="1587"/>
          </w:tcPr>
          <w:p>
            <w:pPr>
              <w:bidi/>
              <w:spacing w:after="20"/>
            </w:pPr>
            <w:r>
              <w:rPr>
                <w:rFonts w:ascii="Arial" w:hAnsi="Arial" w:cs="Arial"/>
                <w:b w:val="0"/>
                <w:i w:val="0"/>
                <w:color w:val="000000"/>
                <w:sz w:val="20"/>
                <w:rtl/>
                <w:szCs w:val="20"/>
              </w:rPr>
              <w:t>حتى 250,000</w:t>
            </w:r>
          </w:p>
        </w:tc>
        <w:tc>
          <w:tcPr>
            <w:tcW w:type="dxa" w:w="1757"/>
          </w:tcPr>
          <w:p>
            <w:pPr>
              <w:bidi/>
              <w:spacing w:after="20"/>
            </w:pPr>
            <w:r>
              <w:rPr>
                <w:rFonts w:ascii="Arial" w:hAnsi="Arial" w:cs="Arial"/>
                <w:b w:val="0"/>
                <w:i w:val="0"/>
                <w:color w:val="000000"/>
                <w:sz w:val="20"/>
                <w:rtl/>
                <w:szCs w:val="20"/>
              </w:rPr>
              <w:t>أكثر من 250,000</w:t>
            </w:r>
          </w:p>
        </w:tc>
      </w:tr>
      <w:tr>
        <w:tc>
          <w:tcPr>
            <w:tcW w:type="dxa" w:w="2551"/>
          </w:tcPr>
          <w:p>
            <w:pPr>
              <w:bidi/>
              <w:spacing w:after="20"/>
            </w:pPr>
            <w:r>
              <w:rPr>
                <w:rFonts w:ascii="Arial" w:hAnsi="Arial" w:cs="Arial"/>
                <w:b w:val="0"/>
                <w:i w:val="0"/>
                <w:color w:val="000000"/>
                <w:sz w:val="20"/>
                <w:rtl/>
                <w:szCs w:val="20"/>
              </w:rPr>
              <w:t>أوامر الشراء</w:t>
            </w:r>
          </w:p>
        </w:tc>
        <w:tc>
          <w:tcPr>
            <w:tcW w:type="dxa" w:w="1587"/>
          </w:tcPr>
          <w:p>
            <w:pPr>
              <w:bidi/>
              <w:spacing w:after="20"/>
            </w:pPr>
            <w:r>
              <w:rPr>
                <w:rFonts w:ascii="Arial" w:hAnsi="Arial" w:cs="Arial"/>
                <w:b w:val="0"/>
                <w:i w:val="0"/>
                <w:color w:val="000000"/>
                <w:sz w:val="20"/>
                <w:rtl/>
                <w:szCs w:val="20"/>
              </w:rPr>
              <w:t>حتى 10,000</w:t>
            </w:r>
          </w:p>
        </w:tc>
        <w:tc>
          <w:tcPr>
            <w:tcW w:type="dxa" w:w="1587"/>
          </w:tcPr>
          <w:p>
            <w:pPr>
              <w:bidi/>
              <w:spacing w:after="20"/>
            </w:pPr>
            <w:r>
              <w:rPr>
                <w:rFonts w:ascii="Arial" w:hAnsi="Arial" w:cs="Arial"/>
                <w:b w:val="0"/>
                <w:i w:val="0"/>
                <w:color w:val="000000"/>
                <w:sz w:val="20"/>
                <w:rtl/>
                <w:szCs w:val="20"/>
              </w:rPr>
              <w:t>حتى 100,000</w:t>
            </w:r>
          </w:p>
        </w:tc>
        <w:tc>
          <w:tcPr>
            <w:tcW w:type="dxa" w:w="1587"/>
          </w:tcPr>
          <w:p>
            <w:pPr>
              <w:bidi/>
              <w:spacing w:after="20"/>
            </w:pPr>
            <w:r>
              <w:rPr>
                <w:rFonts w:ascii="Arial" w:hAnsi="Arial" w:cs="Arial"/>
                <w:b w:val="0"/>
                <w:i w:val="0"/>
                <w:color w:val="000000"/>
                <w:sz w:val="20"/>
                <w:rtl/>
                <w:szCs w:val="20"/>
              </w:rPr>
              <w:t>حتى 500,000</w:t>
            </w:r>
          </w:p>
        </w:tc>
        <w:tc>
          <w:tcPr>
            <w:tcW w:type="dxa" w:w="1757"/>
          </w:tcPr>
          <w:p>
            <w:pPr>
              <w:bidi/>
              <w:spacing w:after="20"/>
            </w:pPr>
            <w:r>
              <w:rPr>
                <w:rFonts w:ascii="Arial" w:hAnsi="Arial" w:cs="Arial"/>
                <w:b w:val="0"/>
                <w:i w:val="0"/>
                <w:color w:val="000000"/>
                <w:sz w:val="20"/>
                <w:rtl/>
                <w:szCs w:val="20"/>
              </w:rPr>
              <w:t>أكثر من 500,000</w:t>
            </w:r>
          </w:p>
        </w:tc>
      </w:tr>
      <w:tr>
        <w:tc>
          <w:tcPr>
            <w:tcW w:type="dxa" w:w="2551"/>
          </w:tcPr>
          <w:p>
            <w:pPr>
              <w:bidi/>
              <w:spacing w:after="20"/>
            </w:pPr>
            <w:r>
              <w:rPr>
                <w:rFonts w:ascii="Arial" w:hAnsi="Arial" w:cs="Arial"/>
                <w:b w:val="0"/>
                <w:i w:val="0"/>
                <w:color w:val="000000"/>
                <w:sz w:val="20"/>
                <w:rtl/>
                <w:szCs w:val="20"/>
              </w:rPr>
              <w:t>شراء أصول ثابتة</w:t>
            </w:r>
          </w:p>
        </w:tc>
        <w:tc>
          <w:tcPr>
            <w:tcW w:type="dxa" w:w="1587"/>
          </w:tcPr>
          <w:p>
            <w:pPr>
              <w:bidi/>
              <w:spacing w:after="20"/>
            </w:pPr>
            <w:r>
              <w:rPr>
                <w:rFonts w:ascii="Arial" w:hAnsi="Arial" w:cs="Arial"/>
                <w:b w:val="0"/>
                <w:i w:val="0"/>
                <w:color w:val="000000"/>
                <w:sz w:val="20"/>
                <w:rtl/>
                <w:szCs w:val="20"/>
              </w:rPr>
              <w:t>-</w:t>
            </w:r>
          </w:p>
        </w:tc>
        <w:tc>
          <w:tcPr>
            <w:tcW w:type="dxa" w:w="1587"/>
          </w:tcPr>
          <w:p>
            <w:pPr>
              <w:bidi/>
              <w:spacing w:after="20"/>
            </w:pPr>
            <w:r>
              <w:rPr>
                <w:rFonts w:ascii="Arial" w:hAnsi="Arial" w:cs="Arial"/>
                <w:b w:val="0"/>
                <w:i w:val="0"/>
                <w:color w:val="000000"/>
                <w:sz w:val="20"/>
                <w:rtl/>
                <w:szCs w:val="20"/>
              </w:rPr>
              <w:t>حتى 50,000</w:t>
            </w:r>
          </w:p>
        </w:tc>
        <w:tc>
          <w:tcPr>
            <w:tcW w:type="dxa" w:w="1587"/>
          </w:tcPr>
          <w:p>
            <w:pPr>
              <w:bidi/>
              <w:spacing w:after="20"/>
            </w:pPr>
            <w:r>
              <w:rPr>
                <w:rFonts w:ascii="Arial" w:hAnsi="Arial" w:cs="Arial"/>
                <w:b w:val="0"/>
                <w:i w:val="0"/>
                <w:color w:val="000000"/>
                <w:sz w:val="20"/>
                <w:rtl/>
                <w:szCs w:val="20"/>
              </w:rPr>
              <w:t>حتى 300,000</w:t>
            </w:r>
          </w:p>
        </w:tc>
        <w:tc>
          <w:tcPr>
            <w:tcW w:type="dxa" w:w="1757"/>
          </w:tcPr>
          <w:p>
            <w:pPr>
              <w:bidi/>
              <w:spacing w:after="20"/>
            </w:pPr>
            <w:r>
              <w:rPr>
                <w:rFonts w:ascii="Arial" w:hAnsi="Arial" w:cs="Arial"/>
                <w:b w:val="0"/>
                <w:i w:val="0"/>
                <w:color w:val="000000"/>
                <w:sz w:val="20"/>
                <w:rtl/>
                <w:szCs w:val="20"/>
              </w:rPr>
              <w:t>أكثر من 300,000</w:t>
            </w:r>
          </w:p>
        </w:tc>
      </w:tr>
      <w:tr>
        <w:tc>
          <w:tcPr>
            <w:tcW w:type="dxa" w:w="2551"/>
          </w:tcPr>
          <w:p>
            <w:pPr>
              <w:bidi/>
              <w:spacing w:after="20"/>
            </w:pPr>
            <w:r>
              <w:rPr>
                <w:rFonts w:ascii="Arial" w:hAnsi="Arial" w:cs="Arial"/>
                <w:b w:val="0"/>
                <w:i w:val="0"/>
                <w:color w:val="000000"/>
                <w:sz w:val="20"/>
                <w:rtl/>
                <w:szCs w:val="20"/>
              </w:rPr>
              <w:t>إعدام ديون أو مخزون</w:t>
            </w:r>
          </w:p>
        </w:tc>
        <w:tc>
          <w:tcPr>
            <w:tcW w:type="dxa" w:w="1587"/>
          </w:tcPr>
          <w:p>
            <w:pPr>
              <w:bidi/>
              <w:spacing w:after="20"/>
            </w:pPr>
            <w:r>
              <w:rPr>
                <w:rFonts w:ascii="Arial" w:hAnsi="Arial" w:cs="Arial"/>
                <w:b w:val="0"/>
                <w:i w:val="0"/>
                <w:color w:val="000000"/>
                <w:sz w:val="20"/>
                <w:rtl/>
                <w:szCs w:val="20"/>
              </w:rPr>
              <w:t>-</w:t>
            </w:r>
          </w:p>
        </w:tc>
        <w:tc>
          <w:tcPr>
            <w:tcW w:type="dxa" w:w="1587"/>
          </w:tcPr>
          <w:p>
            <w:pPr>
              <w:bidi/>
              <w:spacing w:after="20"/>
            </w:pPr>
            <w:r>
              <w:rPr>
                <w:rFonts w:ascii="Arial" w:hAnsi="Arial" w:cs="Arial"/>
                <w:b w:val="0"/>
                <w:i w:val="0"/>
                <w:color w:val="000000"/>
                <w:sz w:val="20"/>
                <w:rtl/>
                <w:szCs w:val="20"/>
              </w:rPr>
              <w:t>حتى 10,000</w:t>
            </w:r>
          </w:p>
        </w:tc>
        <w:tc>
          <w:tcPr>
            <w:tcW w:type="dxa" w:w="1587"/>
          </w:tcPr>
          <w:p>
            <w:pPr>
              <w:bidi/>
              <w:spacing w:after="20"/>
            </w:pPr>
            <w:r>
              <w:rPr>
                <w:rFonts w:ascii="Arial" w:hAnsi="Arial" w:cs="Arial"/>
                <w:b w:val="0"/>
                <w:i w:val="0"/>
                <w:color w:val="000000"/>
                <w:sz w:val="20"/>
                <w:rtl/>
                <w:szCs w:val="20"/>
              </w:rPr>
              <w:t>حتى 100,000</w:t>
            </w:r>
          </w:p>
        </w:tc>
        <w:tc>
          <w:tcPr>
            <w:tcW w:type="dxa" w:w="1757"/>
          </w:tcPr>
          <w:p>
            <w:pPr>
              <w:bidi/>
              <w:spacing w:after="20"/>
            </w:pPr>
            <w:r>
              <w:rPr>
                <w:rFonts w:ascii="Arial" w:hAnsi="Arial" w:cs="Arial"/>
                <w:b w:val="0"/>
                <w:i w:val="0"/>
                <w:color w:val="000000"/>
                <w:sz w:val="20"/>
                <w:rtl/>
                <w:szCs w:val="20"/>
              </w:rPr>
              <w:t>أكثر من 100,000</w:t>
            </w:r>
          </w:p>
        </w:tc>
      </w:tr>
      <w:tr>
        <w:tc>
          <w:tcPr>
            <w:tcW w:type="dxa" w:w="2551"/>
          </w:tcPr>
          <w:p>
            <w:pPr>
              <w:bidi/>
              <w:spacing w:after="20"/>
            </w:pPr>
            <w:r>
              <w:rPr>
                <w:rFonts w:ascii="Arial" w:hAnsi="Arial" w:cs="Arial"/>
                <w:b w:val="0"/>
                <w:i w:val="0"/>
                <w:color w:val="000000"/>
                <w:sz w:val="20"/>
                <w:rtl/>
                <w:szCs w:val="20"/>
              </w:rPr>
              <w:t>توقيع الشيكات والتحويلات</w:t>
            </w:r>
          </w:p>
        </w:tc>
        <w:tc>
          <w:tcPr>
            <w:tcW w:type="dxa" w:w="1587"/>
          </w:tcPr>
          <w:p>
            <w:pPr>
              <w:bidi/>
              <w:spacing w:after="20"/>
            </w:pPr>
            <w:r>
              <w:rPr>
                <w:rFonts w:ascii="Arial" w:hAnsi="Arial" w:cs="Arial"/>
                <w:b w:val="0"/>
                <w:i w:val="0"/>
                <w:color w:val="000000"/>
                <w:sz w:val="20"/>
                <w:rtl/>
                <w:szCs w:val="20"/>
              </w:rPr>
              <w:t>-</w:t>
            </w:r>
          </w:p>
        </w:tc>
        <w:tc>
          <w:tcPr>
            <w:tcW w:type="dxa" w:w="1587"/>
          </w:tcPr>
          <w:p>
            <w:pPr>
              <w:bidi/>
              <w:spacing w:after="20"/>
            </w:pPr>
            <w:r>
              <w:rPr>
                <w:rFonts w:ascii="Arial" w:hAnsi="Arial" w:cs="Arial"/>
                <w:b w:val="0"/>
                <w:i w:val="0"/>
                <w:color w:val="000000"/>
                <w:sz w:val="20"/>
                <w:rtl/>
                <w:szCs w:val="20"/>
              </w:rPr>
              <w:t>توقيع أول</w:t>
            </w:r>
          </w:p>
        </w:tc>
        <w:tc>
          <w:tcPr>
            <w:tcW w:type="dxa" w:w="1587"/>
          </w:tcPr>
          <w:p>
            <w:pPr>
              <w:bidi/>
              <w:spacing w:after="20"/>
            </w:pPr>
            <w:r>
              <w:rPr>
                <w:rFonts w:ascii="Arial" w:hAnsi="Arial" w:cs="Arial"/>
                <w:b w:val="0"/>
                <w:i w:val="0"/>
                <w:color w:val="000000"/>
                <w:sz w:val="20"/>
                <w:rtl/>
                <w:szCs w:val="20"/>
              </w:rPr>
              <w:t>توقيع ثانٍ</w:t>
            </w:r>
          </w:p>
        </w:tc>
        <w:tc>
          <w:tcPr>
            <w:tcW w:type="dxa" w:w="1757"/>
          </w:tcPr>
          <w:p>
            <w:pPr>
              <w:bidi/>
              <w:spacing w:after="20"/>
            </w:pPr>
            <w:r>
              <w:rPr>
                <w:rFonts w:ascii="Arial" w:hAnsi="Arial" w:cs="Arial"/>
                <w:b w:val="0"/>
                <w:i w:val="0"/>
                <w:color w:val="000000"/>
                <w:sz w:val="20"/>
                <w:rtl/>
                <w:szCs w:val="20"/>
              </w:rPr>
              <w:t>-</w:t>
            </w:r>
          </w:p>
        </w:tc>
      </w:tr>
    </w:tbl>
    <w:p>
      <w:pPr>
        <w:bidi/>
        <w:spacing w:before="0" w:after="120" w:line="300" w:lineRule="auto"/>
      </w:pPr>
    </w:p>
    <w:p>
      <w:pPr>
        <w:bidi/>
        <w:spacing w:before="40" w:after="160" w:line="300" w:lineRule="auto"/>
      </w:pPr>
      <w:r>
        <w:rPr>
          <w:rFonts w:ascii="Arial" w:hAnsi="Arial" w:cs="Arial"/>
          <w:b w:val="0"/>
          <w:i/>
          <w:color w:val="595959"/>
          <w:sz w:val="20"/>
          <w:rtl/>
          <w:szCs w:val="20"/>
        </w:rPr>
        <w:t>المبالغ أمثلة بعملة الشركة؛ تحددها الإدارة بقرار مكتوب وتُبلغ للبنوك.</w:t>
      </w:r>
    </w:p>
    <w:p>
      <w:pPr>
        <w:bidi/>
        <w:spacing w:before="280" w:after="120" w:line="300" w:lineRule="auto"/>
        <w:pBdr>
          <w:bottom w:val="single" w:sz="8" w:space="4" w:color="B08D57"/>
        </w:pBdr>
      </w:pPr>
      <w:r>
        <w:rPr>
          <w:rFonts w:ascii="Arial" w:hAnsi="Arial" w:cs="Arial"/>
          <w:b/>
          <w:i w:val="0"/>
          <w:color w:val="14213D"/>
          <w:sz w:val="30"/>
          <w:rtl/>
          <w:szCs w:val="30"/>
          <w:bCs/>
        </w:rPr>
        <w:t>3. النقدية والبنوك</w:t>
      </w:r>
    </w:p>
    <w:p>
      <w:pPr>
        <w:bidi/>
        <w:spacing w:before="160" w:after="80" w:line="300" w:lineRule="auto"/>
      </w:pPr>
      <w:r>
        <w:rPr>
          <w:rFonts w:ascii="Arial" w:hAnsi="Arial" w:cs="Arial"/>
          <w:b/>
          <w:i w:val="0"/>
          <w:color w:val="14213D"/>
          <w:sz w:val="25"/>
          <w:rtl/>
          <w:szCs w:val="25"/>
          <w:bCs/>
        </w:rPr>
        <w:t>الخزينة</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يحدد سقف للنقدية المحتفظ بها في الخزينة قدره [20,000]، ويودع الزائد في البنك في نفس يوم العمل أو اليوم التالي.</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كل مقبوض نقدي يصدر عنه سند قبض مرقم من أصل وصورتين، ويُسلم الأصل للدافع.</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يُجرد أمين الخزينة يوميًا مع الرصيد الدفتري، ويُجري المدير المالي أو من يفوضه جردًا مفاجئًا مرة شهريًا على الأقل بمحضر موقع.</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يُمنع صرف أي مبلغ من المقبوضات النقدية مباشرة؛ تودع المقبوضات كما هي، ويتم الصرف من العهدة أو بشيك أو تحويل.</w:t>
      </w:r>
    </w:p>
    <w:p>
      <w:pPr>
        <w:bidi/>
        <w:spacing w:before="160" w:after="80" w:line="300" w:lineRule="auto"/>
      </w:pPr>
      <w:r>
        <w:rPr>
          <w:rFonts w:ascii="Arial" w:hAnsi="Arial" w:cs="Arial"/>
          <w:b/>
          <w:i w:val="0"/>
          <w:color w:val="14213D"/>
          <w:sz w:val="25"/>
          <w:rtl/>
          <w:szCs w:val="25"/>
          <w:bCs/>
        </w:rPr>
        <w:t>العهد النثرية</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تُصرف العهد النثرية بنظام العهدة الثابتة، بمبلغ يحدده المدير المالي لكل أمين عهدة.</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الحد الأقصى للمصروف الواحد من العهدة [1,000]، وما يزيد يُصرف بإذن صرف عادي.</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تُستعاض العهدة بمستندات أصلية معتمدة، ولا تُستعاض مرة أخرى قبل تسوية الاستعاضة السابقة.</w:t>
      </w:r>
    </w:p>
    <w:p>
      <w:pPr>
        <w:bidi/>
        <w:spacing w:before="160" w:after="80" w:line="300" w:lineRule="auto"/>
      </w:pPr>
      <w:r>
        <w:rPr>
          <w:rFonts w:ascii="Arial" w:hAnsi="Arial" w:cs="Arial"/>
          <w:b/>
          <w:i w:val="0"/>
          <w:color w:val="14213D"/>
          <w:sz w:val="25"/>
          <w:rtl/>
          <w:szCs w:val="25"/>
          <w:bCs/>
        </w:rPr>
        <w:t>الحسابات البنكية</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فتح الحسابات البنكية وإغلاقها وتغيير المفوضين بالتوقيع بقرار من [المدير العام / مجلس الإدارة].</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جميع الشيكات والتحويلات بتوقيعين على الأقل من المفوضين، ولا تُوقع شيكات على بياض أو لحاملها.</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تُعد مذكرة تسوية لكل حساب بنكي خلال خمسة أيام عمل من نهاية الشهر، يعدها موظف لا يملك صلاحية القبض أو الصرف، ويعتمدها رئيس الحسابات.</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الشيكات المعلقة لأكثر من ستة أشهر تُراجع وتُعالج محاسبيًا.</w:t>
      </w:r>
    </w:p>
    <w:p>
      <w:pPr>
        <w:bidi/>
        <w:spacing w:before="280" w:after="120" w:line="300" w:lineRule="auto"/>
        <w:pBdr>
          <w:bottom w:val="single" w:sz="8" w:space="4" w:color="B08D57"/>
        </w:pBdr>
      </w:pPr>
      <w:r>
        <w:rPr>
          <w:rFonts w:ascii="Arial" w:hAnsi="Arial" w:cs="Arial"/>
          <w:b/>
          <w:i w:val="0"/>
          <w:color w:val="14213D"/>
          <w:sz w:val="30"/>
          <w:rtl/>
          <w:szCs w:val="30"/>
          <w:bCs/>
        </w:rPr>
        <w:t>4. المشتريات والموردون</w:t>
      </w:r>
    </w:p>
    <w:p>
      <w:pPr>
        <w:bidi/>
        <w:spacing w:before="0" w:after="60" w:line="300" w:lineRule="auto"/>
        <w:ind w:right="340"/>
      </w:pPr>
      <w:r>
        <w:rPr>
          <w:rFonts w:ascii="Arial" w:hAnsi="Arial" w:cs="Arial"/>
          <w:b/>
          <w:i w:val="0"/>
          <w:color w:val="B08D57"/>
          <w:sz w:val="22"/>
          <w:rtl/>
          <w:szCs w:val="22"/>
          <w:bCs/>
        </w:rPr>
        <w:t xml:space="preserve">1.  </w:t>
      </w:r>
      <w:r>
        <w:rPr>
          <w:rFonts w:ascii="Arial" w:hAnsi="Arial" w:cs="Arial"/>
          <w:b w:val="0"/>
          <w:i w:val="0"/>
          <w:color w:val="000000"/>
          <w:sz w:val="22"/>
          <w:rtl/>
          <w:szCs w:val="22"/>
        </w:rPr>
        <w:t>تبدأ عملية الشراء بطلب شراء من الإدارة الطالبة معتمد من رئيسها، يوضح الصنف والكمية والغرض.</w:t>
      </w:r>
    </w:p>
    <w:p>
      <w:pPr>
        <w:bidi/>
        <w:spacing w:before="0" w:after="60" w:line="300" w:lineRule="auto"/>
        <w:ind w:right="340"/>
      </w:pPr>
      <w:r>
        <w:rPr>
          <w:rFonts w:ascii="Arial" w:hAnsi="Arial" w:cs="Arial"/>
          <w:b/>
          <w:i w:val="0"/>
          <w:color w:val="B08D57"/>
          <w:sz w:val="22"/>
          <w:rtl/>
          <w:szCs w:val="22"/>
          <w:bCs/>
        </w:rPr>
        <w:t xml:space="preserve">2.  </w:t>
      </w:r>
      <w:r>
        <w:rPr>
          <w:rFonts w:ascii="Arial" w:hAnsi="Arial" w:cs="Arial"/>
          <w:b w:val="0"/>
          <w:i w:val="0"/>
          <w:color w:val="000000"/>
          <w:sz w:val="22"/>
          <w:rtl/>
          <w:szCs w:val="22"/>
        </w:rPr>
        <w:t>للمشتريات التي تزيد على [10,000] يُطلب ثلاثة عروض أسعار على الأقل، وتُعد مقارنة مكتوبة، ويُبرر اختيار غير الأقل سعرًا.</w:t>
      </w:r>
    </w:p>
    <w:p>
      <w:pPr>
        <w:bidi/>
        <w:spacing w:before="0" w:after="60" w:line="300" w:lineRule="auto"/>
        <w:ind w:right="340"/>
      </w:pPr>
      <w:r>
        <w:rPr>
          <w:rFonts w:ascii="Arial" w:hAnsi="Arial" w:cs="Arial"/>
          <w:b/>
          <w:i w:val="0"/>
          <w:color w:val="B08D57"/>
          <w:sz w:val="22"/>
          <w:rtl/>
          <w:szCs w:val="22"/>
          <w:bCs/>
        </w:rPr>
        <w:t xml:space="preserve">3.  </w:t>
      </w:r>
      <w:r>
        <w:rPr>
          <w:rFonts w:ascii="Arial" w:hAnsi="Arial" w:cs="Arial"/>
          <w:b w:val="0"/>
          <w:i w:val="0"/>
          <w:color w:val="000000"/>
          <w:sz w:val="22"/>
          <w:rtl/>
          <w:szCs w:val="22"/>
        </w:rPr>
        <w:t>يصدر أمر شراء مرقم معتمد وفق جدول الصلاحيات قبل الالتزام مع المورد.</w:t>
      </w:r>
    </w:p>
    <w:p>
      <w:pPr>
        <w:bidi/>
        <w:spacing w:before="0" w:after="60" w:line="300" w:lineRule="auto"/>
        <w:ind w:right="340"/>
      </w:pPr>
      <w:r>
        <w:rPr>
          <w:rFonts w:ascii="Arial" w:hAnsi="Arial" w:cs="Arial"/>
          <w:b/>
          <w:i w:val="0"/>
          <w:color w:val="B08D57"/>
          <w:sz w:val="22"/>
          <w:rtl/>
          <w:szCs w:val="22"/>
          <w:bCs/>
        </w:rPr>
        <w:t xml:space="preserve">4.  </w:t>
      </w:r>
      <w:r>
        <w:rPr>
          <w:rFonts w:ascii="Arial" w:hAnsi="Arial" w:cs="Arial"/>
          <w:b w:val="0"/>
          <w:i w:val="0"/>
          <w:color w:val="000000"/>
          <w:sz w:val="22"/>
          <w:rtl/>
          <w:szCs w:val="22"/>
        </w:rPr>
        <w:t>يستلم المخزن الأصناف ويصدر إذن استلام يوضح الكميات الفعلية والحالة، ولا يوقع المستلم على ما لم يستلمه.</w:t>
      </w:r>
    </w:p>
    <w:p>
      <w:pPr>
        <w:bidi/>
        <w:spacing w:before="0" w:after="60" w:line="300" w:lineRule="auto"/>
        <w:ind w:right="340"/>
      </w:pPr>
      <w:r>
        <w:rPr>
          <w:rFonts w:ascii="Arial" w:hAnsi="Arial" w:cs="Arial"/>
          <w:b/>
          <w:i w:val="0"/>
          <w:color w:val="B08D57"/>
          <w:sz w:val="22"/>
          <w:rtl/>
          <w:szCs w:val="22"/>
          <w:bCs/>
        </w:rPr>
        <w:t xml:space="preserve">5.  </w:t>
      </w:r>
      <w:r>
        <w:rPr>
          <w:rFonts w:ascii="Arial" w:hAnsi="Arial" w:cs="Arial"/>
          <w:b w:val="0"/>
          <w:i w:val="0"/>
          <w:color w:val="000000"/>
          <w:sz w:val="22"/>
          <w:rtl/>
          <w:szCs w:val="22"/>
        </w:rPr>
        <w:t>لا تُعتمد فاتورة المورد للسداد إلا بعد المطابقة الثلاثية: أمر الشراء، إذن الاستلام، والفاتورة.</w:t>
      </w:r>
    </w:p>
    <w:p>
      <w:pPr>
        <w:bidi/>
        <w:spacing w:before="0" w:after="60" w:line="300" w:lineRule="auto"/>
        <w:ind w:right="340"/>
      </w:pPr>
      <w:r>
        <w:rPr>
          <w:rFonts w:ascii="Arial" w:hAnsi="Arial" w:cs="Arial"/>
          <w:b/>
          <w:i w:val="0"/>
          <w:color w:val="B08D57"/>
          <w:sz w:val="22"/>
          <w:rtl/>
          <w:szCs w:val="22"/>
          <w:bCs/>
        </w:rPr>
        <w:t xml:space="preserve">6.  </w:t>
      </w:r>
      <w:r>
        <w:rPr>
          <w:rFonts w:ascii="Arial" w:hAnsi="Arial" w:cs="Arial"/>
          <w:b w:val="0"/>
          <w:i w:val="0"/>
          <w:color w:val="000000"/>
          <w:sz w:val="22"/>
          <w:rtl/>
          <w:szCs w:val="22"/>
        </w:rPr>
        <w:t>يتم السداد في تاريخ الاستحقاق بشيك أو تحويل باسم المورد المسجل، ويُختم المستند «مدفوع» لمنع تكرار الصرف.</w:t>
      </w:r>
    </w:p>
    <w:p>
      <w:pPr>
        <w:bidi/>
        <w:spacing w:before="0" w:after="120" w:line="300" w:lineRule="auto"/>
        <w:jc w:val="both"/>
      </w:pPr>
      <w:r>
        <w:rPr>
          <w:rFonts w:ascii="Arial" w:hAnsi="Arial" w:cs="Arial"/>
          <w:b w:val="0"/>
          <w:i w:val="0"/>
          <w:color w:val="000000"/>
          <w:sz w:val="22"/>
          <w:rtl/>
          <w:szCs w:val="22"/>
        </w:rPr>
        <w:t>تُحفظ بيانات الموردين في سجل معتمد، وأي تعديل على الحساب البنكي للمورد يتم بطلب مكتوب منه ويُتأكد منه هاتفيًا من رقم مسجل سابقًا قبل اعتماده.</w:t>
      </w:r>
    </w:p>
    <w:p>
      <w:pPr>
        <w:bidi/>
        <w:spacing w:before="280" w:after="120" w:line="300" w:lineRule="auto"/>
        <w:pBdr>
          <w:bottom w:val="single" w:sz="8" w:space="4" w:color="B08D57"/>
        </w:pBdr>
      </w:pPr>
      <w:r>
        <w:rPr>
          <w:rFonts w:ascii="Arial" w:hAnsi="Arial" w:cs="Arial"/>
          <w:b/>
          <w:i w:val="0"/>
          <w:color w:val="14213D"/>
          <w:sz w:val="30"/>
          <w:rtl/>
          <w:szCs w:val="30"/>
          <w:bCs/>
        </w:rPr>
        <w:t>5. المبيعات والعملاء والتحصيل</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يحدد لكل عميل آجل حد ائتمان ومدة سداد يعتمدها المدير المالي بناءً على دراسة ملاءة العميل.</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لا تصدر فاتورة آجلة تتجاوز حد ائتمان العميل إلا بموافقة مكتوبة من صاحب الصلاحية.</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تصدر الفواتير من النظام بأرقام متسلسلة، وتُعتمد الخصومات الاستثنائية وفق جدول الصلاحيات.</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يُعد تقرير أعمار ديون شهري، وتُتابع الديون المتأخرة أكثر من [90] يومًا بخطة تحصيل مكتوبة.</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تُرسل مصادقات أرصدة للعملاء مرة سنويًا على الأقل، ويُكوَّن مخصص للديون المشكوك في تحصيلها وفق سياسة الخسائر الائتمانية المتوقعة.</w:t>
      </w:r>
    </w:p>
    <w:p>
      <w:pPr>
        <w:bidi/>
        <w:spacing w:before="280" w:after="120" w:line="300" w:lineRule="auto"/>
        <w:pBdr>
          <w:bottom w:val="single" w:sz="8" w:space="4" w:color="B08D57"/>
        </w:pBdr>
      </w:pPr>
      <w:r>
        <w:rPr>
          <w:rFonts w:ascii="Arial" w:hAnsi="Arial" w:cs="Arial"/>
          <w:b/>
          <w:i w:val="0"/>
          <w:color w:val="14213D"/>
          <w:sz w:val="30"/>
          <w:rtl/>
          <w:szCs w:val="30"/>
          <w:bCs/>
        </w:rPr>
        <w:t>6. المخزون</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يُقيّم المخزون بالتكلفة أو صافي القيمة القابلة للتحقق أيهما أقل، وتُحدد التكلفة بطريقة [المتوسط المرجح].</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لا يُصرف صنف من المخزن إلا بإذن صرف معتمد من الإدارة الطالبة.</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يُجرى جرد فعلي شامل في نهاية السنة، وجرد دوري للأصناف عالية القيمة كل [ربع سنة]، بلجنة لا تضم أمين المخزن وحده.</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تُعرض فروق الجرد والأصناف الراكدة والتالفة على المدير المالي لاعتماد معالجتها.</w:t>
      </w:r>
    </w:p>
    <w:p>
      <w:pPr>
        <w:bidi/>
        <w:spacing w:before="280" w:after="120" w:line="300" w:lineRule="auto"/>
        <w:pBdr>
          <w:bottom w:val="single" w:sz="8" w:space="4" w:color="B08D57"/>
        </w:pBdr>
      </w:pPr>
      <w:r>
        <w:rPr>
          <w:rFonts w:ascii="Arial" w:hAnsi="Arial" w:cs="Arial"/>
          <w:b/>
          <w:i w:val="0"/>
          <w:color w:val="14213D"/>
          <w:sz w:val="30"/>
          <w:rtl/>
          <w:szCs w:val="30"/>
          <w:bCs/>
        </w:rPr>
        <w:t>7. الأصول الثابتة</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يُرسمل كل أصل تزيد تكلفته على [5,000] ويُتوقع استخدامه أكثر من سنة، وما دون ذلك يُحمل مصروفًا.</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يُسجل كل أصل في سجل الأصول برقم تعريفي وملصق، مع موقعه والمسؤول عنه.</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يُحسب الإهلاك بطريقة القسط الثابت على العمر الإنتاجي المحدد لكل فئة، ويُراجع العمر والقيمة المتبقية سنويًا.</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يُجرد الأصول الثابتة مرة سنويًا ويُطابق مع السجل، ولا يُستبعد أصل أو يُباع إلا بموافقة صاحب الصلاحية ومحضر.</w:t>
      </w:r>
    </w:p>
    <w:p>
      <w:pPr>
        <w:bidi/>
        <w:spacing w:before="280" w:after="120" w:line="300" w:lineRule="auto"/>
        <w:pBdr>
          <w:bottom w:val="single" w:sz="8" w:space="4" w:color="B08D57"/>
        </w:pBdr>
      </w:pPr>
      <w:r>
        <w:rPr>
          <w:rFonts w:ascii="Arial" w:hAnsi="Arial" w:cs="Arial"/>
          <w:b/>
          <w:i w:val="0"/>
          <w:color w:val="14213D"/>
          <w:sz w:val="30"/>
          <w:rtl/>
          <w:szCs w:val="30"/>
          <w:bCs/>
        </w:rPr>
        <w:t>8. الرواتب والأجور</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تُعد إدارة الموارد البشرية بيانات الحضور والإجازات والإضافي والجزاءات، وتُعد الحسابات كشف الرواتب.</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أي تعديل في راتب أو بدل أو إضافة موظف جديد يتم بقرار مكتوب معتمد قبل إدخاله في الكشف.</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يُراجع كشف الرواتب ويُقارن بالشهر السابق وتُفسر الفروق قبل اعتماده من المدير المالي.</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تُصرف الرواتب بالتحويل البنكي، وتُورد الاستقطاعات (الضرائب والتأمينات) في مواعيدها القانونية.</w:t>
      </w:r>
    </w:p>
    <w:p>
      <w:pPr>
        <w:bidi/>
        <w:spacing w:before="280" w:after="120" w:line="300" w:lineRule="auto"/>
        <w:pBdr>
          <w:bottom w:val="single" w:sz="8" w:space="4" w:color="B08D57"/>
        </w:pBdr>
      </w:pPr>
      <w:r>
        <w:rPr>
          <w:rFonts w:ascii="Arial" w:hAnsi="Arial" w:cs="Arial"/>
          <w:b/>
          <w:i w:val="0"/>
          <w:color w:val="14213D"/>
          <w:sz w:val="30"/>
          <w:rtl/>
          <w:szCs w:val="30"/>
          <w:bCs/>
        </w:rPr>
        <w:t>9. الإقفال الشهري والتقارير</w:t>
      </w:r>
    </w:p>
    <w:p>
      <w:pPr>
        <w:bidi/>
        <w:spacing w:before="0" w:after="120" w:line="300" w:lineRule="auto"/>
        <w:jc w:val="both"/>
      </w:pPr>
      <w:r>
        <w:rPr>
          <w:rFonts w:ascii="Arial" w:hAnsi="Arial" w:cs="Arial"/>
          <w:b w:val="0"/>
          <w:i w:val="0"/>
          <w:color w:val="000000"/>
          <w:sz w:val="22"/>
          <w:rtl/>
          <w:szCs w:val="22"/>
        </w:rPr>
        <w:t>تُقفل الحسابات خلال [7] أيام عمل من نهاية كل شهر وفق قائمة مهام الإقفال، وتشمل: تسجيل كل المستندات، والتسويات البنكية، وقيود الاستحقاق والإهلاك، ومطابقة الحسابات الفرعية مع الحسابات الرئيسية، ثم إعداد ميزان المراجعة.</w:t>
      </w:r>
    </w:p>
    <w:p>
      <w:pPr>
        <w:bidi/>
        <w:spacing w:before="0" w:after="120" w:line="300" w:lineRule="auto"/>
        <w:jc w:val="both"/>
      </w:pPr>
      <w:r>
        <w:rPr>
          <w:rFonts w:ascii="Arial" w:hAnsi="Arial" w:cs="Arial"/>
          <w:b w:val="0"/>
          <w:i w:val="0"/>
          <w:color w:val="000000"/>
          <w:sz w:val="22"/>
          <w:rtl/>
          <w:szCs w:val="22"/>
        </w:rPr>
        <w:t>يُعرض على الإدارة تقرير شهري يتضمن قائمة الدخل مقارنة بالموازنة، والمركز المالي، والتدفقات النقدية، وأعمار الديون، وأي ملاحظات جوهرية.</w:t>
      </w:r>
    </w:p>
    <w:p>
      <w:pPr>
        <w:bidi/>
        <w:spacing w:before="280" w:after="120" w:line="300" w:lineRule="auto"/>
        <w:pBdr>
          <w:bottom w:val="single" w:sz="8" w:space="4" w:color="B08D57"/>
        </w:pBdr>
      </w:pPr>
      <w:r>
        <w:rPr>
          <w:rFonts w:ascii="Arial" w:hAnsi="Arial" w:cs="Arial"/>
          <w:b/>
          <w:i w:val="0"/>
          <w:color w:val="14213D"/>
          <w:sz w:val="30"/>
          <w:rtl/>
          <w:szCs w:val="30"/>
          <w:bCs/>
        </w:rPr>
        <w:t>10. الموازنة التقديرية</w:t>
      </w:r>
    </w:p>
    <w:p>
      <w:pPr>
        <w:bidi/>
        <w:spacing w:before="0" w:after="120" w:line="300" w:lineRule="auto"/>
        <w:jc w:val="both"/>
      </w:pPr>
      <w:r>
        <w:rPr>
          <w:rFonts w:ascii="Arial" w:hAnsi="Arial" w:cs="Arial"/>
          <w:b w:val="0"/>
          <w:i w:val="0"/>
          <w:color w:val="000000"/>
          <w:sz w:val="22"/>
          <w:rtl/>
          <w:szCs w:val="22"/>
        </w:rPr>
        <w:t>تُعد الموازنة السنوية قبل بداية السنة المالية بشهرين على الأقل بمشاركة الإدارات، وتُعتمد من [مجلس الإدارة]. ويُقارن الفعلي بالموازنة شهريًا، وتُفسر الانحرافات التي تزيد على [10%].</w:t>
      </w:r>
    </w:p>
    <w:p>
      <w:pPr>
        <w:bidi/>
        <w:spacing w:before="280" w:after="120" w:line="300" w:lineRule="auto"/>
        <w:pBdr>
          <w:bottom w:val="single" w:sz="8" w:space="4" w:color="B08D57"/>
        </w:pBdr>
      </w:pPr>
      <w:r>
        <w:rPr>
          <w:rFonts w:ascii="Arial" w:hAnsi="Arial" w:cs="Arial"/>
          <w:b/>
          <w:i w:val="0"/>
          <w:color w:val="14213D"/>
          <w:sz w:val="30"/>
          <w:rtl/>
          <w:szCs w:val="30"/>
          <w:bCs/>
        </w:rPr>
        <w:t>11. حفظ المستندات والأرشفة</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تُحفظ المستندات المالية مرتبة بأرقامها لمدة لا تقل عن [10] سنوات أو المدة التي يحددها القانون أيهما أطول.</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تُحفظ نسخ احتياطية من البيانات المحاسبية يوميًا خارج مقر الشركة أو على خدمة سحابية آمنة.</w:t>
      </w:r>
    </w:p>
    <w:p>
      <w:pPr>
        <w:bidi/>
        <w:spacing w:before="0" w:after="60" w:line="300" w:lineRule="auto"/>
        <w:ind w:right="340"/>
      </w:pPr>
      <w:r>
        <w:rPr>
          <w:rFonts w:ascii="Arial" w:hAnsi="Arial" w:cs="Arial"/>
          <w:b/>
          <w:i w:val="0"/>
          <w:color w:val="B08D57"/>
          <w:sz w:val="22"/>
          <w:rtl/>
          <w:szCs w:val="22"/>
          <w:bCs/>
        </w:rPr>
        <w:t xml:space="preserve">•  </w:t>
      </w:r>
      <w:r>
        <w:rPr>
          <w:rFonts w:ascii="Arial" w:hAnsi="Arial" w:cs="Arial"/>
          <w:b w:val="0"/>
          <w:i w:val="0"/>
          <w:color w:val="000000"/>
          <w:sz w:val="22"/>
          <w:rtl/>
          <w:szCs w:val="22"/>
        </w:rPr>
        <w:t>لا تُعدم المستندات إلا بعد انتهاء مدة الحفظ وبمحضر معتمد.</w:t>
      </w:r>
    </w:p>
    <w:p>
      <w:pPr>
        <w:bidi/>
        <w:spacing w:before="280" w:after="120" w:line="300" w:lineRule="auto"/>
        <w:pBdr>
          <w:bottom w:val="single" w:sz="8" w:space="4" w:color="B08D57"/>
        </w:pBdr>
      </w:pPr>
      <w:r>
        <w:rPr>
          <w:rFonts w:ascii="Arial" w:hAnsi="Arial" w:cs="Arial"/>
          <w:b/>
          <w:i w:val="0"/>
          <w:color w:val="14213D"/>
          <w:sz w:val="30"/>
          <w:rtl/>
          <w:szCs w:val="30"/>
          <w:bCs/>
        </w:rPr>
        <w:t>12. الاعتماد</w:t>
      </w:r>
    </w:p>
    <w:p>
      <w:pPr>
        <w:bidi/>
        <w:spacing w:before="0" w:after="120" w:line="300" w:lineRule="auto"/>
        <w:jc w:val="both"/>
      </w:pPr>
      <w:r>
        <w:rPr>
          <w:rFonts w:ascii="Arial" w:hAnsi="Arial" w:cs="Arial"/>
          <w:b w:val="0"/>
          <w:i w:val="0"/>
          <w:color w:val="000000"/>
          <w:sz w:val="22"/>
          <w:rtl/>
          <w:szCs w:val="22"/>
        </w:rPr>
        <w:t>اعتمد هذا الدليل بتاريخ [....] ويُعمل به من [....].</w:t>
      </w:r>
    </w:p>
    <w:tbl>
      <w:tblPr>
        <w:tblStyle w:val="TableGrid"/>
        <w:tblW w:type="auto" w:w="0"/>
        <w:tblLook w:firstColumn="1" w:firstRow="1" w:lastColumn="0" w:lastRow="0" w:noHBand="0" w:noVBand="1" w:val="04A0"/>
        <w:bidiVisual/>
      </w:tblPr>
      <w:tblGrid>
        <w:gridCol w:w="3213"/>
        <w:gridCol w:w="3213"/>
        <w:gridCol w:w="3213"/>
      </w:tblGrid>
      <w:tr>
        <w:tc>
          <w:tcPr>
            <w:tcW w:type="dxa" w:w="3213"/>
            <w:shd w:val="clear" w:color="auto" w:fill="14213D"/>
          </w:tcPr>
          <w:p>
            <w:pPr>
              <w:bidi/>
              <w:spacing w:after="20"/>
            </w:pPr>
            <w:r>
              <w:rPr>
                <w:rFonts w:ascii="Arial" w:hAnsi="Arial" w:cs="Arial"/>
                <w:b/>
                <w:i w:val="0"/>
                <w:color w:val="FFFFFF"/>
                <w:sz w:val="20"/>
                <w:rtl/>
                <w:szCs w:val="20"/>
                <w:bCs/>
              </w:rPr>
              <w:t>إعداد: المدير المالي</w:t>
            </w:r>
          </w:p>
        </w:tc>
        <w:tc>
          <w:tcPr>
            <w:tcW w:type="dxa" w:w="3213"/>
            <w:shd w:val="clear" w:color="auto" w:fill="14213D"/>
          </w:tcPr>
          <w:p>
            <w:pPr>
              <w:bidi/>
              <w:spacing w:after="20"/>
            </w:pPr>
            <w:r>
              <w:rPr>
                <w:rFonts w:ascii="Arial" w:hAnsi="Arial" w:cs="Arial"/>
                <w:b/>
                <w:i w:val="0"/>
                <w:color w:val="FFFFFF"/>
                <w:sz w:val="20"/>
                <w:rtl/>
                <w:szCs w:val="20"/>
                <w:bCs/>
              </w:rPr>
              <w:t>مراجعة: المراجع الداخلي</w:t>
            </w:r>
          </w:p>
        </w:tc>
        <w:tc>
          <w:tcPr>
            <w:tcW w:type="dxa" w:w="3213"/>
            <w:shd w:val="clear" w:color="auto" w:fill="14213D"/>
          </w:tcPr>
          <w:p>
            <w:pPr>
              <w:bidi/>
              <w:spacing w:after="20"/>
            </w:pPr>
            <w:r>
              <w:rPr>
                <w:rFonts w:ascii="Arial" w:hAnsi="Arial" w:cs="Arial"/>
                <w:b/>
                <w:i w:val="0"/>
                <w:color w:val="FFFFFF"/>
                <w:sz w:val="20"/>
                <w:rtl/>
                <w:szCs w:val="20"/>
                <w:bCs/>
              </w:rPr>
              <w:t>اعتماد: المدير العام</w:t>
            </w:r>
          </w:p>
        </w:tc>
      </w:tr>
      <w:tr>
        <w:tc>
          <w:tcPr>
            <w:tcW w:type="dxa" w:w="3213"/>
          </w:tcPr>
          <w:p>
            <w:pPr>
              <w:bidi/>
              <w:spacing w:after="20"/>
            </w:pPr>
            <w:r>
              <w:rPr>
                <w:rFonts w:ascii="Arial" w:hAnsi="Arial" w:cs="Arial"/>
                <w:b w:val="0"/>
                <w:i w:val="0"/>
                <w:color w:val="000000"/>
                <w:sz w:val="20"/>
                <w:rtl/>
                <w:szCs w:val="20"/>
              </w:rPr>
              <w:t>الاسم:</w:t>
            </w:r>
          </w:p>
        </w:tc>
        <w:tc>
          <w:tcPr>
            <w:tcW w:type="dxa" w:w="3213"/>
          </w:tcPr>
          <w:p>
            <w:pPr>
              <w:bidi/>
              <w:spacing w:after="20"/>
            </w:pPr>
            <w:r>
              <w:rPr>
                <w:rFonts w:ascii="Arial" w:hAnsi="Arial" w:cs="Arial"/>
                <w:b w:val="0"/>
                <w:i w:val="0"/>
                <w:color w:val="000000"/>
                <w:sz w:val="20"/>
                <w:rtl/>
                <w:szCs w:val="20"/>
              </w:rPr>
              <w:t>الاسم:</w:t>
            </w:r>
          </w:p>
        </w:tc>
        <w:tc>
          <w:tcPr>
            <w:tcW w:type="dxa" w:w="3213"/>
          </w:tcPr>
          <w:p>
            <w:pPr>
              <w:bidi/>
              <w:spacing w:after="20"/>
            </w:pPr>
            <w:r>
              <w:rPr>
                <w:rFonts w:ascii="Arial" w:hAnsi="Arial" w:cs="Arial"/>
                <w:b w:val="0"/>
                <w:i w:val="0"/>
                <w:color w:val="000000"/>
                <w:sz w:val="20"/>
                <w:rtl/>
                <w:szCs w:val="20"/>
              </w:rPr>
              <w:t>الاسم:</w:t>
            </w:r>
          </w:p>
        </w:tc>
      </w:tr>
      <w:tr>
        <w:tc>
          <w:tcPr>
            <w:tcW w:type="dxa" w:w="3213"/>
          </w:tcPr>
          <w:p>
            <w:pPr>
              <w:bidi/>
              <w:spacing w:after="20"/>
            </w:pPr>
            <w:r>
              <w:rPr>
                <w:rFonts w:ascii="Arial" w:hAnsi="Arial" w:cs="Arial"/>
                <w:b w:val="0"/>
                <w:i w:val="0"/>
                <w:color w:val="000000"/>
                <w:sz w:val="20"/>
                <w:rtl/>
                <w:szCs w:val="20"/>
              </w:rPr>
              <w:t>التوقيع والتاريخ:</w:t>
            </w:r>
          </w:p>
        </w:tc>
        <w:tc>
          <w:tcPr>
            <w:tcW w:type="dxa" w:w="3213"/>
          </w:tcPr>
          <w:p>
            <w:pPr>
              <w:bidi/>
              <w:spacing w:after="20"/>
            </w:pPr>
            <w:r>
              <w:rPr>
                <w:rFonts w:ascii="Arial" w:hAnsi="Arial" w:cs="Arial"/>
                <w:b w:val="0"/>
                <w:i w:val="0"/>
                <w:color w:val="000000"/>
                <w:sz w:val="20"/>
                <w:rtl/>
                <w:szCs w:val="20"/>
              </w:rPr>
              <w:t>التوقيع والتاريخ:</w:t>
            </w:r>
          </w:p>
        </w:tc>
        <w:tc>
          <w:tcPr>
            <w:tcW w:type="dxa" w:w="3213"/>
          </w:tcPr>
          <w:p>
            <w:pPr>
              <w:bidi/>
              <w:spacing w:after="20"/>
            </w:pPr>
            <w:r>
              <w:rPr>
                <w:rFonts w:ascii="Arial" w:hAnsi="Arial" w:cs="Arial"/>
                <w:b w:val="0"/>
                <w:i w:val="0"/>
                <w:color w:val="000000"/>
                <w:sz w:val="20"/>
                <w:rtl/>
                <w:szCs w:val="20"/>
              </w:rPr>
              <w:t>التوقيع والتاريخ:</w:t>
            </w:r>
          </w:p>
        </w:tc>
      </w:tr>
    </w:tbl>
    <w:p>
      <w:pPr>
        <w:bidi/>
        <w:spacing w:before="0" w:after="160" w:line="300" w:lineRule="auto"/>
      </w:pP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i w:val="0"/>
        <w:color w:val="595959"/>
        <w:sz w:val="17"/>
        <w:rtl/>
        <w:szCs w:val="17"/>
      </w:rPr>
      <w:t xml:space="preserve">نموذج مجاني من www.aam-web.com/templates  -  صفحة </w:t>
    </w:r>
    <w:r>
      <w:fldSimple w:instr="PAGE"/>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Header"/>
      <w:pBdr>
        <w:bottom w:val="single" w:sz="6" w:space="4" w:color="B08D57"/>
      </w:pBdr>
    </w:pPr>
    <w:r>
      <w:rPr>
        <w:rFonts w:ascii="Arial" w:hAnsi="Arial" w:cs="Arial"/>
        <w:b w:val="0"/>
        <w:i w:val="0"/>
        <w:color w:val="595959"/>
        <w:sz w:val="17"/>
        <w:rtl/>
        <w:szCs w:val="17"/>
      </w:rPr>
      <w:t>مجلة المحاسب العربي  |  دليل السياسات والإجراءات المالية</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