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40" w:line="300" w:lineRule="auto"/>
      </w:pPr>
      <w:r>
        <w:rPr>
          <w:rFonts w:ascii="Arial" w:hAnsi="Arial" w:cs="Arial"/>
          <w:b/>
          <w:i w:val="0"/>
          <w:color w:val="B08D57"/>
          <w:sz w:val="20"/>
          <w:rtl/>
          <w:szCs w:val="20"/>
          <w:bCs/>
        </w:rPr>
        <w:t>مجلة المحاسب العربي</w:t>
      </w:r>
    </w:p>
    <w:p>
      <w:pPr>
        <w:bidi/>
        <w:spacing w:before="0" w:after="80" w:line="300" w:lineRule="auto"/>
        <w:pBdr>
          <w:bottom w:val="single" w:sz="18" w:space="4" w:color="B08D57"/>
        </w:pBdr>
      </w:pPr>
      <w:r>
        <w:rPr>
          <w:rFonts w:ascii="Arial" w:hAnsi="Arial" w:cs="Arial"/>
          <w:b/>
          <w:i w:val="0"/>
          <w:color w:val="14213D"/>
          <w:sz w:val="44"/>
          <w:rtl/>
          <w:szCs w:val="44"/>
          <w:bCs/>
        </w:rPr>
        <w:t>لائحة شؤون العاملين (نموذج)</w:t>
      </w:r>
    </w:p>
    <w:p>
      <w:pPr>
        <w:bidi/>
        <w:spacing w:before="80" w:after="200" w:line="300" w:lineRule="auto"/>
      </w:pPr>
      <w:r>
        <w:rPr>
          <w:rFonts w:ascii="Arial" w:hAnsi="Arial" w:cs="Arial"/>
          <w:b w:val="0"/>
          <w:i w:val="0"/>
          <w:color w:val="595959"/>
          <w:sz w:val="23"/>
          <w:rtl/>
          <w:szCs w:val="23"/>
        </w:rPr>
        <w:t>نموذج لائحة داخلية للموارد البشرية: التعيين، وساعات العمل، والإجازات، والأجور، والتقييم، والجزاءات، وانتهاء الخدمة.</w:t>
      </w:r>
    </w:p>
    <w:tbl>
      <w:tblPr>
        <w:tblStyle w:val="TableGrid"/>
        <w:tblW w:type="auto" w:w="0"/>
        <w:jc w:val="center"/>
        <w:tblLook w:firstColumn="1" w:firstRow="1" w:lastColumn="0" w:lastRow="0" w:noHBand="0" w:noVBand="1" w:val="04A0"/>
        <w:bidiVisual/>
      </w:tblPr>
      <w:tblGrid>
        <w:gridCol w:w="9638"/>
      </w:tblGrid>
      <w:tr>
        <w:tc>
          <w:tcPr>
            <w:tcW w:type="dxa" w:w="9638"/>
            <w:shd w:val="clear" w:color="auto" w:fill="F3F4F7"/>
          </w:tcPr>
          <w:p>
            <w:pPr>
              <w:bidi/>
            </w:pPr>
            <w:r>
              <w:rPr>
                <w:rFonts w:ascii="Arial" w:hAnsi="Arial" w:cs="Arial"/>
                <w:b/>
                <w:i w:val="0"/>
                <w:color w:val="14213D"/>
                <w:sz w:val="22"/>
                <w:rtl/>
                <w:szCs w:val="22"/>
                <w:bCs/>
              </w:rPr>
              <w:t>كيف تستخدم هذا النموذج</w:t>
            </w:r>
          </w:p>
          <w:p>
            <w:pPr>
              <w:bidi/>
              <w:spacing w:after="40"/>
            </w:pPr>
            <w:r>
              <w:rPr>
                <w:rFonts w:ascii="Arial" w:hAnsi="Arial" w:cs="Arial"/>
                <w:b w:val="0"/>
                <w:i w:val="0"/>
                <w:color w:val="000000"/>
                <w:sz w:val="20"/>
                <w:rtl/>
                <w:szCs w:val="20"/>
              </w:rPr>
              <w:t>•  استبدل كل ما بين القوسين [ ] ببيانات شركتك، مثل [اسم الشركة] و[المدير المالي].</w:t>
            </w:r>
          </w:p>
          <w:p>
            <w:pPr>
              <w:bidi/>
              <w:spacing w:after="40"/>
            </w:pPr>
            <w:r>
              <w:rPr>
                <w:rFonts w:ascii="Arial" w:hAnsi="Arial" w:cs="Arial"/>
                <w:b w:val="0"/>
                <w:i w:val="0"/>
                <w:color w:val="000000"/>
                <w:sz w:val="20"/>
                <w:rtl/>
                <w:szCs w:val="20"/>
              </w:rPr>
              <w:t>•  النصوص صيغة استرشادية؛ احذف ما لا ينطبق عليك وأضف ما تحتاجه، واعرضها على مستشارك القانوني قبل الاعتماد.</w:t>
            </w:r>
          </w:p>
          <w:p>
            <w:pPr>
              <w:bidi/>
              <w:spacing w:after="40"/>
            </w:pPr>
            <w:r>
              <w:rPr>
                <w:rFonts w:ascii="Arial" w:hAnsi="Arial" w:cs="Arial"/>
                <w:b w:val="0"/>
                <w:i w:val="0"/>
                <w:color w:val="000000"/>
                <w:sz w:val="20"/>
                <w:rtl/>
                <w:szCs w:val="20"/>
              </w:rPr>
              <w:t>•  الحدود والمبالغ والنسب المكتوبة أمثلة فقط؛ حدّدها بقرار من الإدارة.</w:t>
            </w:r>
          </w:p>
          <w:p>
            <w:pPr>
              <w:bidi/>
              <w:spacing w:after="40"/>
            </w:pPr>
            <w:r>
              <w:rPr>
                <w:rFonts w:ascii="Arial" w:hAnsi="Arial" w:cs="Arial"/>
                <w:b w:val="0"/>
                <w:i w:val="0"/>
                <w:color w:val="000000"/>
                <w:sz w:val="20"/>
                <w:rtl/>
                <w:szCs w:val="20"/>
              </w:rPr>
              <w:t>•  أحكام قانون العمل في بلدك تتقدم على أي نص في اللائحة يخالفها؛ ومدد الإجازات والجزاءات يجب أن تطابق القانون.</w:t>
            </w:r>
          </w:p>
        </w:tc>
      </w:tr>
    </w:tbl>
    <w:p>
      <w:pPr>
        <w:bidi/>
        <w:spacing w:before="0" w:after="80" w:line="300" w:lineRule="auto"/>
      </w:pPr>
    </w:p>
    <w:p>
      <w:pPr>
        <w:bidi/>
        <w:spacing w:before="280" w:after="120" w:line="300" w:lineRule="auto"/>
        <w:pBdr>
          <w:bottom w:val="single" w:sz="8" w:space="4" w:color="B08D57"/>
        </w:pBdr>
      </w:pPr>
      <w:r>
        <w:rPr>
          <w:rFonts w:ascii="Arial" w:hAnsi="Arial" w:cs="Arial"/>
          <w:b/>
          <w:i w:val="0"/>
          <w:color w:val="14213D"/>
          <w:sz w:val="30"/>
          <w:rtl/>
          <w:szCs w:val="30"/>
          <w:bCs/>
        </w:rPr>
        <w:t>الباب الأول: أحكام عامة</w:t>
      </w:r>
    </w:p>
    <w:p>
      <w:pPr>
        <w:bidi/>
        <w:spacing w:before="0" w:after="120" w:line="300" w:lineRule="auto"/>
        <w:jc w:val="both"/>
      </w:pPr>
      <w:r>
        <w:rPr>
          <w:rFonts w:ascii="Arial" w:hAnsi="Arial" w:cs="Arial"/>
          <w:b w:val="0"/>
          <w:i w:val="0"/>
          <w:color w:val="000000"/>
          <w:sz w:val="22"/>
          <w:rtl/>
          <w:szCs w:val="22"/>
        </w:rPr>
        <w:t>تسري هذه اللائحة على جميع العاملين في [اسم الشركة] بمختلف فروعها، وتُعد مكملة لعقود العمل. وفيما لم يرد فيه نص يُطبق قانون العمل رقم [....] لسنة [....] وقراراته التنفيذية.</w:t>
      </w:r>
    </w:p>
    <w:p>
      <w:pPr>
        <w:bidi/>
        <w:spacing w:before="0" w:after="120" w:line="300" w:lineRule="auto"/>
        <w:jc w:val="both"/>
      </w:pPr>
      <w:r>
        <w:rPr>
          <w:rFonts w:ascii="Arial" w:hAnsi="Arial" w:cs="Arial"/>
          <w:b w:val="0"/>
          <w:i w:val="0"/>
          <w:color w:val="000000"/>
          <w:sz w:val="22"/>
          <w:rtl/>
          <w:szCs w:val="22"/>
        </w:rPr>
        <w:t>يُقصد بالعامل كل من يعمل لدى الشركة مقابل أجر وتحت إدارتها، وبالمدير المباشر المسؤول الذي يتبعه العامل في الهيكل التنظيمي.</w:t>
      </w:r>
    </w:p>
    <w:p>
      <w:pPr>
        <w:bidi/>
        <w:spacing w:before="280" w:after="120" w:line="300" w:lineRule="auto"/>
        <w:pBdr>
          <w:bottom w:val="single" w:sz="8" w:space="4" w:color="B08D57"/>
        </w:pBdr>
      </w:pPr>
      <w:r>
        <w:rPr>
          <w:rFonts w:ascii="Arial" w:hAnsi="Arial" w:cs="Arial"/>
          <w:b/>
          <w:i w:val="0"/>
          <w:color w:val="14213D"/>
          <w:sz w:val="30"/>
          <w:rtl/>
          <w:szCs w:val="30"/>
          <w:bCs/>
        </w:rPr>
        <w:t>الباب الثاني: التعيين</w:t>
      </w:r>
    </w:p>
    <w:p>
      <w:pPr>
        <w:bidi/>
        <w:spacing w:before="0" w:after="60" w:line="300" w:lineRule="auto"/>
        <w:ind w:right="340"/>
      </w:pPr>
      <w:r>
        <w:rPr>
          <w:rFonts w:ascii="Arial" w:hAnsi="Arial" w:cs="Arial"/>
          <w:b/>
          <w:i w:val="0"/>
          <w:color w:val="B08D57"/>
          <w:sz w:val="22"/>
          <w:rtl/>
          <w:szCs w:val="22"/>
          <w:bCs/>
        </w:rPr>
        <w:t xml:space="preserve">1.  </w:t>
      </w:r>
      <w:r>
        <w:rPr>
          <w:rFonts w:ascii="Arial" w:hAnsi="Arial" w:cs="Arial"/>
          <w:b w:val="0"/>
          <w:i w:val="0"/>
          <w:color w:val="000000"/>
          <w:sz w:val="22"/>
          <w:rtl/>
          <w:szCs w:val="22"/>
        </w:rPr>
        <w:t>يتم التعيين على وظيفة واردة في الهيكل التنظيمي المعتمد ولها وصف وظيفي، وفي حدود خطة القوى العاملة.</w:t>
      </w:r>
    </w:p>
    <w:p>
      <w:pPr>
        <w:bidi/>
        <w:spacing w:before="0" w:after="60" w:line="300" w:lineRule="auto"/>
        <w:ind w:right="340"/>
      </w:pPr>
      <w:r>
        <w:rPr>
          <w:rFonts w:ascii="Arial" w:hAnsi="Arial" w:cs="Arial"/>
          <w:b/>
          <w:i w:val="0"/>
          <w:color w:val="B08D57"/>
          <w:sz w:val="22"/>
          <w:rtl/>
          <w:szCs w:val="22"/>
          <w:bCs/>
        </w:rPr>
        <w:t xml:space="preserve">2.  </w:t>
      </w:r>
      <w:r>
        <w:rPr>
          <w:rFonts w:ascii="Arial" w:hAnsi="Arial" w:cs="Arial"/>
          <w:b w:val="0"/>
          <w:i w:val="0"/>
          <w:color w:val="000000"/>
          <w:sz w:val="22"/>
          <w:rtl/>
          <w:szCs w:val="22"/>
        </w:rPr>
        <w:t>تُعلن الوظيفة داخليًا وخارجيًا، ويُختار المرشح بمقابلة يحضرها المدير المباشر وممثل الموارد البشرية.</w:t>
      </w:r>
    </w:p>
    <w:p>
      <w:pPr>
        <w:bidi/>
        <w:spacing w:before="0" w:after="60" w:line="300" w:lineRule="auto"/>
        <w:ind w:right="340"/>
      </w:pPr>
      <w:r>
        <w:rPr>
          <w:rFonts w:ascii="Arial" w:hAnsi="Arial" w:cs="Arial"/>
          <w:b/>
          <w:i w:val="0"/>
          <w:color w:val="B08D57"/>
          <w:sz w:val="22"/>
          <w:rtl/>
          <w:szCs w:val="22"/>
          <w:bCs/>
        </w:rPr>
        <w:t xml:space="preserve">3.  </w:t>
      </w:r>
      <w:r>
        <w:rPr>
          <w:rFonts w:ascii="Arial" w:hAnsi="Arial" w:cs="Arial"/>
          <w:b w:val="0"/>
          <w:i w:val="0"/>
          <w:color w:val="000000"/>
          <w:sz w:val="22"/>
          <w:rtl/>
          <w:szCs w:val="22"/>
        </w:rPr>
        <w:t>يُشترط لتعيين العامل تقديم المستندات المطلوبة (المؤهل، شهادات الخبرة، صحيفة الحالة الجنائية، الشهادة الطبية...) واجتياز الكشف الطبي إن لزم.</w:t>
      </w:r>
    </w:p>
    <w:p>
      <w:pPr>
        <w:bidi/>
        <w:spacing w:before="0" w:after="60" w:line="300" w:lineRule="auto"/>
        <w:ind w:right="340"/>
      </w:pPr>
      <w:r>
        <w:rPr>
          <w:rFonts w:ascii="Arial" w:hAnsi="Arial" w:cs="Arial"/>
          <w:b/>
          <w:i w:val="0"/>
          <w:color w:val="B08D57"/>
          <w:sz w:val="22"/>
          <w:rtl/>
          <w:szCs w:val="22"/>
          <w:bCs/>
        </w:rPr>
        <w:t xml:space="preserve">4.  </w:t>
      </w:r>
      <w:r>
        <w:rPr>
          <w:rFonts w:ascii="Arial" w:hAnsi="Arial" w:cs="Arial"/>
          <w:b w:val="0"/>
          <w:i w:val="0"/>
          <w:color w:val="000000"/>
          <w:sz w:val="22"/>
          <w:rtl/>
          <w:szCs w:val="22"/>
        </w:rPr>
        <w:t>يُعين العامل تحت الاختبار مدة [ثلاثة أشهر] لا تتجاوز الحد القانوني، يُقيم في نهايتها كتابيًا.</w:t>
      </w:r>
    </w:p>
    <w:p>
      <w:pPr>
        <w:bidi/>
        <w:spacing w:before="0" w:after="60" w:line="300" w:lineRule="auto"/>
        <w:ind w:right="340"/>
      </w:pPr>
      <w:r>
        <w:rPr>
          <w:rFonts w:ascii="Arial" w:hAnsi="Arial" w:cs="Arial"/>
          <w:b/>
          <w:i w:val="0"/>
          <w:color w:val="B08D57"/>
          <w:sz w:val="22"/>
          <w:rtl/>
          <w:szCs w:val="22"/>
          <w:bCs/>
        </w:rPr>
        <w:t xml:space="preserve">5.  </w:t>
      </w:r>
      <w:r>
        <w:rPr>
          <w:rFonts w:ascii="Arial" w:hAnsi="Arial" w:cs="Arial"/>
          <w:b w:val="0"/>
          <w:i w:val="0"/>
          <w:color w:val="000000"/>
          <w:sz w:val="22"/>
          <w:rtl/>
          <w:szCs w:val="22"/>
        </w:rPr>
        <w:t>يُحرر عقد العمل من [ثلاث] نسخ، ويُنشأ للعامل ملف يضم مستنداته وكل ما يصدر بشأنه من قرارات.</w:t>
      </w:r>
    </w:p>
    <w:p>
      <w:pPr>
        <w:bidi/>
        <w:spacing w:before="280" w:after="120" w:line="300" w:lineRule="auto"/>
        <w:pBdr>
          <w:bottom w:val="single" w:sz="8" w:space="4" w:color="B08D57"/>
        </w:pBdr>
      </w:pPr>
      <w:r>
        <w:rPr>
          <w:rFonts w:ascii="Arial" w:hAnsi="Arial" w:cs="Arial"/>
          <w:b/>
          <w:i w:val="0"/>
          <w:color w:val="14213D"/>
          <w:sz w:val="30"/>
          <w:rtl/>
          <w:szCs w:val="30"/>
          <w:bCs/>
        </w:rPr>
        <w:t>الباب الثالث: ساعات العمل والحضور</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ساعات العمل الرسمية [8] ساعات يوميًا، [5] أيام أسبوعيًا، من الساعة [....] إلى [....]، تتخللها فترة راحة [ساعة].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الراحة الأسبوعية يوم [الجمعة] ويوم [السبت]، وتحدد الإدارة نظام الورديات للأعمال المستمرة.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يُثبت الحضور والانصراف بنظام [البصمة]، ويُحسب التأخير وفق جدول الجزاءات.</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العمل الإضافي يكون بتكليف مكتوب من المدير المباشر، ويُحسب أجره وفق القانون بالنسب المقررة للعمل النهاري والليلي وأيام الراحة.</w:t>
      </w:r>
    </w:p>
    <w:p>
      <w:pPr>
        <w:bidi/>
        <w:spacing w:before="280" w:after="120" w:line="300" w:lineRule="auto"/>
        <w:pBdr>
          <w:bottom w:val="single" w:sz="8" w:space="4" w:color="B08D57"/>
        </w:pBdr>
      </w:pPr>
      <w:r>
        <w:rPr>
          <w:rFonts w:ascii="Arial" w:hAnsi="Arial" w:cs="Arial"/>
          <w:b/>
          <w:i w:val="0"/>
          <w:color w:val="14213D"/>
          <w:sz w:val="30"/>
          <w:rtl/>
          <w:szCs w:val="30"/>
          <w:bCs/>
        </w:rPr>
        <w:t>الباب الرابع: الإجازات</w:t>
      </w:r>
    </w:p>
    <w:tbl>
      <w:tblPr>
        <w:tblStyle w:val="TableGrid"/>
        <w:tblW w:type="auto" w:w="0"/>
        <w:jc w:val="center"/>
        <w:tblLook w:firstColumn="1" w:firstRow="1" w:lastColumn="0" w:lastRow="0" w:noHBand="0" w:noVBand="1" w:val="04A0"/>
        <w:bidiVisual/>
      </w:tblPr>
      <w:tblGrid>
        <w:gridCol w:w="3213"/>
        <w:gridCol w:w="3213"/>
        <w:gridCol w:w="3213"/>
      </w:tblGrid>
      <w:tr>
        <w:tc>
          <w:tcPr>
            <w:tcW w:type="dxa" w:w="2268"/>
            <w:shd w:val="clear" w:color="auto" w:fill="14213D"/>
          </w:tcPr>
          <w:p>
            <w:pPr>
              <w:bidi/>
              <w:spacing w:after="20"/>
            </w:pPr>
            <w:r>
              <w:rPr>
                <w:rFonts w:ascii="Arial" w:hAnsi="Arial" w:cs="Arial"/>
                <w:b/>
                <w:i w:val="0"/>
                <w:color w:val="FFFFFF"/>
                <w:sz w:val="20"/>
                <w:rtl/>
                <w:szCs w:val="20"/>
                <w:bCs/>
              </w:rPr>
              <w:t>نوع الإجازة</w:t>
            </w:r>
          </w:p>
        </w:tc>
        <w:tc>
          <w:tcPr>
            <w:tcW w:type="dxa" w:w="3402"/>
            <w:shd w:val="clear" w:color="auto" w:fill="14213D"/>
          </w:tcPr>
          <w:p>
            <w:pPr>
              <w:bidi/>
              <w:spacing w:after="20"/>
            </w:pPr>
            <w:r>
              <w:rPr>
                <w:rFonts w:ascii="Arial" w:hAnsi="Arial" w:cs="Arial"/>
                <w:b/>
                <w:i w:val="0"/>
                <w:color w:val="FFFFFF"/>
                <w:sz w:val="20"/>
                <w:rtl/>
                <w:szCs w:val="20"/>
                <w:bCs/>
              </w:rPr>
              <w:t>المدة</w:t>
            </w:r>
          </w:p>
        </w:tc>
        <w:tc>
          <w:tcPr>
            <w:tcW w:type="dxa" w:w="3402"/>
            <w:shd w:val="clear" w:color="auto" w:fill="14213D"/>
          </w:tcPr>
          <w:p>
            <w:pPr>
              <w:bidi/>
              <w:spacing w:after="20"/>
            </w:pPr>
            <w:r>
              <w:rPr>
                <w:rFonts w:ascii="Arial" w:hAnsi="Arial" w:cs="Arial"/>
                <w:b/>
                <w:i w:val="0"/>
                <w:color w:val="FFFFFF"/>
                <w:sz w:val="20"/>
                <w:rtl/>
                <w:szCs w:val="20"/>
                <w:bCs/>
              </w:rPr>
              <w:t>ملاحظات</w:t>
            </w:r>
          </w:p>
        </w:tc>
      </w:tr>
      <w:tr>
        <w:tc>
          <w:tcPr>
            <w:tcW w:type="dxa" w:w="2268"/>
          </w:tcPr>
          <w:p>
            <w:pPr>
              <w:bidi/>
              <w:spacing w:after="20"/>
            </w:pPr>
            <w:r>
              <w:rPr>
                <w:rFonts w:ascii="Arial" w:hAnsi="Arial" w:cs="Arial"/>
                <w:b w:val="0"/>
                <w:i w:val="0"/>
                <w:color w:val="000000"/>
                <w:sz w:val="20"/>
                <w:rtl/>
                <w:szCs w:val="20"/>
              </w:rPr>
              <w:t>الإجازة السنوية</w:t>
            </w:r>
          </w:p>
        </w:tc>
        <w:tc>
          <w:tcPr>
            <w:tcW w:type="dxa" w:w="3402"/>
          </w:tcPr>
          <w:p>
            <w:pPr>
              <w:bidi/>
              <w:spacing w:after="20"/>
            </w:pPr>
            <w:r>
              <w:rPr>
                <w:rFonts w:ascii="Arial" w:hAnsi="Arial" w:cs="Arial"/>
                <w:b w:val="0"/>
                <w:i w:val="0"/>
                <w:color w:val="000000"/>
                <w:sz w:val="20"/>
                <w:rtl/>
                <w:szCs w:val="20"/>
              </w:rPr>
              <w:t>[21] يومًا، تزيد إلى [30] بعد [10] سنوات خدمة</w:t>
            </w:r>
          </w:p>
        </w:tc>
        <w:tc>
          <w:tcPr>
            <w:tcW w:type="dxa" w:w="3402"/>
          </w:tcPr>
          <w:p>
            <w:pPr>
              <w:bidi/>
              <w:spacing w:after="20"/>
            </w:pPr>
            <w:r>
              <w:rPr>
                <w:rFonts w:ascii="Arial" w:hAnsi="Arial" w:cs="Arial"/>
                <w:b w:val="0"/>
                <w:i w:val="0"/>
                <w:color w:val="000000"/>
                <w:sz w:val="20"/>
                <w:rtl/>
                <w:szCs w:val="20"/>
              </w:rPr>
              <w:t>تُطلب قبلها بأسبوع، ولا يجوز تأجيلها بالكامل لسنة تالية إلا وفق القانون</w:t>
            </w:r>
          </w:p>
        </w:tc>
      </w:tr>
      <w:tr>
        <w:tc>
          <w:tcPr>
            <w:tcW w:type="dxa" w:w="2268"/>
          </w:tcPr>
          <w:p>
            <w:pPr>
              <w:bidi/>
              <w:spacing w:after="20"/>
            </w:pPr>
            <w:r>
              <w:rPr>
                <w:rFonts w:ascii="Arial" w:hAnsi="Arial" w:cs="Arial"/>
                <w:b w:val="0"/>
                <w:i w:val="0"/>
                <w:color w:val="000000"/>
                <w:sz w:val="20"/>
                <w:rtl/>
                <w:szCs w:val="20"/>
              </w:rPr>
              <w:t>الإجازة العارضة</w:t>
            </w:r>
          </w:p>
        </w:tc>
        <w:tc>
          <w:tcPr>
            <w:tcW w:type="dxa" w:w="3402"/>
          </w:tcPr>
          <w:p>
            <w:pPr>
              <w:bidi/>
              <w:spacing w:after="20"/>
            </w:pPr>
            <w:r>
              <w:rPr>
                <w:rFonts w:ascii="Arial" w:hAnsi="Arial" w:cs="Arial"/>
                <w:b w:val="0"/>
                <w:i w:val="0"/>
                <w:color w:val="000000"/>
                <w:sz w:val="20"/>
                <w:rtl/>
                <w:szCs w:val="20"/>
              </w:rPr>
              <w:t>[6] أيام في السنة بحد أقصى يومين في المرة</w:t>
            </w:r>
          </w:p>
        </w:tc>
        <w:tc>
          <w:tcPr>
            <w:tcW w:type="dxa" w:w="3402"/>
          </w:tcPr>
          <w:p>
            <w:pPr>
              <w:bidi/>
              <w:spacing w:after="20"/>
            </w:pPr>
            <w:r>
              <w:rPr>
                <w:rFonts w:ascii="Arial" w:hAnsi="Arial" w:cs="Arial"/>
                <w:b w:val="0"/>
                <w:i w:val="0"/>
                <w:color w:val="000000"/>
                <w:sz w:val="20"/>
                <w:rtl/>
                <w:szCs w:val="20"/>
              </w:rPr>
              <w:t>تُخصم من الإجازة السنوية</w:t>
            </w:r>
          </w:p>
        </w:tc>
      </w:tr>
      <w:tr>
        <w:tc>
          <w:tcPr>
            <w:tcW w:type="dxa" w:w="2268"/>
          </w:tcPr>
          <w:p>
            <w:pPr>
              <w:bidi/>
              <w:spacing w:after="20"/>
            </w:pPr>
            <w:r>
              <w:rPr>
                <w:rFonts w:ascii="Arial" w:hAnsi="Arial" w:cs="Arial"/>
                <w:b w:val="0"/>
                <w:i w:val="0"/>
                <w:color w:val="000000"/>
                <w:sz w:val="20"/>
                <w:rtl/>
                <w:szCs w:val="20"/>
              </w:rPr>
              <w:t>الإجازة المرضية</w:t>
            </w:r>
          </w:p>
        </w:tc>
        <w:tc>
          <w:tcPr>
            <w:tcW w:type="dxa" w:w="3402"/>
          </w:tcPr>
          <w:p>
            <w:pPr>
              <w:bidi/>
              <w:spacing w:after="20"/>
            </w:pPr>
            <w:r>
              <w:rPr>
                <w:rFonts w:ascii="Arial" w:hAnsi="Arial" w:cs="Arial"/>
                <w:b w:val="0"/>
                <w:i w:val="0"/>
                <w:color w:val="000000"/>
                <w:sz w:val="20"/>
                <w:rtl/>
                <w:szCs w:val="20"/>
              </w:rPr>
              <w:t>وفق القانون وبتقرير طبي معتمد</w:t>
            </w:r>
          </w:p>
        </w:tc>
        <w:tc>
          <w:tcPr>
            <w:tcW w:type="dxa" w:w="3402"/>
          </w:tcPr>
          <w:p>
            <w:pPr>
              <w:bidi/>
              <w:spacing w:after="20"/>
            </w:pPr>
            <w:r>
              <w:rPr>
                <w:rFonts w:ascii="Arial" w:hAnsi="Arial" w:cs="Arial"/>
                <w:b w:val="0"/>
                <w:i w:val="0"/>
                <w:color w:val="000000"/>
                <w:sz w:val="20"/>
                <w:rtl/>
                <w:szCs w:val="20"/>
              </w:rPr>
              <w:t>يُخطر المدير في نفس اليوم</w:t>
            </w:r>
          </w:p>
        </w:tc>
      </w:tr>
      <w:tr>
        <w:tc>
          <w:tcPr>
            <w:tcW w:type="dxa" w:w="2268"/>
          </w:tcPr>
          <w:p>
            <w:pPr>
              <w:bidi/>
              <w:spacing w:after="20"/>
            </w:pPr>
            <w:r>
              <w:rPr>
                <w:rFonts w:ascii="Arial" w:hAnsi="Arial" w:cs="Arial"/>
                <w:b w:val="0"/>
                <w:i w:val="0"/>
                <w:color w:val="000000"/>
                <w:sz w:val="20"/>
                <w:rtl/>
                <w:szCs w:val="20"/>
              </w:rPr>
              <w:t>إجازة الوضع ورعاية الطفل</w:t>
            </w:r>
          </w:p>
        </w:tc>
        <w:tc>
          <w:tcPr>
            <w:tcW w:type="dxa" w:w="3402"/>
          </w:tcPr>
          <w:p>
            <w:pPr>
              <w:bidi/>
              <w:spacing w:after="20"/>
            </w:pPr>
            <w:r>
              <w:rPr>
                <w:rFonts w:ascii="Arial" w:hAnsi="Arial" w:cs="Arial"/>
                <w:b w:val="0"/>
                <w:i w:val="0"/>
                <w:color w:val="000000"/>
                <w:sz w:val="20"/>
                <w:rtl/>
                <w:szCs w:val="20"/>
              </w:rPr>
              <w:t>وفق القانون</w:t>
            </w:r>
          </w:p>
        </w:tc>
        <w:tc>
          <w:tcPr>
            <w:tcW w:type="dxa" w:w="3402"/>
          </w:tcPr>
          <w:p>
            <w:pPr>
              <w:bidi/>
              <w:spacing w:after="20"/>
            </w:pPr>
            <w:r>
              <w:rPr>
                <w:rFonts w:ascii="Arial" w:hAnsi="Arial" w:cs="Arial"/>
                <w:b w:val="0"/>
                <w:i w:val="0"/>
                <w:color w:val="000000"/>
                <w:sz w:val="20"/>
                <w:rtl/>
                <w:szCs w:val="20"/>
              </w:rPr>
            </w:r>
          </w:p>
        </w:tc>
      </w:tr>
      <w:tr>
        <w:tc>
          <w:tcPr>
            <w:tcW w:type="dxa" w:w="2268"/>
          </w:tcPr>
          <w:p>
            <w:pPr>
              <w:bidi/>
              <w:spacing w:after="20"/>
            </w:pPr>
            <w:r>
              <w:rPr>
                <w:rFonts w:ascii="Arial" w:hAnsi="Arial" w:cs="Arial"/>
                <w:b w:val="0"/>
                <w:i w:val="0"/>
                <w:color w:val="000000"/>
                <w:sz w:val="20"/>
                <w:rtl/>
                <w:szCs w:val="20"/>
              </w:rPr>
              <w:t>إجازة الحج / الزواج / الوفاة</w:t>
            </w:r>
          </w:p>
        </w:tc>
        <w:tc>
          <w:tcPr>
            <w:tcW w:type="dxa" w:w="3402"/>
          </w:tcPr>
          <w:p>
            <w:pPr>
              <w:bidi/>
              <w:spacing w:after="20"/>
            </w:pPr>
            <w:r>
              <w:rPr>
                <w:rFonts w:ascii="Arial" w:hAnsi="Arial" w:cs="Arial"/>
                <w:b w:val="0"/>
                <w:i w:val="0"/>
                <w:color w:val="000000"/>
                <w:sz w:val="20"/>
                <w:rtl/>
                <w:szCs w:val="20"/>
              </w:rPr>
              <w:t>[....]</w:t>
            </w:r>
          </w:p>
        </w:tc>
        <w:tc>
          <w:tcPr>
            <w:tcW w:type="dxa" w:w="3402"/>
          </w:tcPr>
          <w:p>
            <w:pPr>
              <w:bidi/>
              <w:spacing w:after="20"/>
            </w:pPr>
            <w:r>
              <w:rPr>
                <w:rFonts w:ascii="Arial" w:hAnsi="Arial" w:cs="Arial"/>
                <w:b w:val="0"/>
                <w:i w:val="0"/>
                <w:color w:val="000000"/>
                <w:sz w:val="20"/>
                <w:rtl/>
                <w:szCs w:val="20"/>
              </w:rPr>
              <w:t>مرة واحدة طوال الخدمة للحج</w:t>
            </w:r>
          </w:p>
        </w:tc>
      </w:tr>
    </w:tbl>
    <w:p>
      <w:pPr>
        <w:bidi/>
        <w:spacing w:before="0" w:after="120" w:line="300" w:lineRule="auto"/>
      </w:pPr>
    </w:p>
    <w:p>
      <w:pPr>
        <w:bidi/>
        <w:spacing w:before="280" w:after="120" w:line="300" w:lineRule="auto"/>
        <w:pBdr>
          <w:bottom w:val="single" w:sz="8" w:space="4" w:color="B08D57"/>
        </w:pBdr>
      </w:pPr>
      <w:r>
        <w:rPr>
          <w:rFonts w:ascii="Arial" w:hAnsi="Arial" w:cs="Arial"/>
          <w:b/>
          <w:i w:val="0"/>
          <w:color w:val="14213D"/>
          <w:sz w:val="30"/>
          <w:rtl/>
          <w:szCs w:val="30"/>
          <w:bCs/>
        </w:rPr>
        <w:t>الباب الخامس: الأجور والبدلات</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يُحدد أجر كل وظيفة وفق سلم الرواتب المعتمد، ويُصرف في موعد أقصاه [آخر يوم عمل] من كل شهر بالتحويل البنكي.</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يُسلم العامل قسيمة راتب توضح الأجر الأساسي والبدلات والاستقطاعات.</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البدلات (انتقال، سكن، طبيعة عمل، اتصال) تُحدد بقرار من المدير العام، ويُوضح في القرار هل تدخل في حساب الإضافي ومكافأة نهاية الخدمة.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تُصرف علاوة سنوية بنسبة [....] مرتبطة بنتيجة تقييم الأداء، وبما لا يقل عن الحد القانوني إن وُجد.</w:t>
      </w:r>
    </w:p>
    <w:p>
      <w:pPr>
        <w:bidi/>
        <w:spacing w:before="280" w:after="120" w:line="300" w:lineRule="auto"/>
        <w:pBdr>
          <w:bottom w:val="single" w:sz="8" w:space="4" w:color="B08D57"/>
        </w:pBdr>
      </w:pPr>
      <w:r>
        <w:rPr>
          <w:rFonts w:ascii="Arial" w:hAnsi="Arial" w:cs="Arial"/>
          <w:b/>
          <w:i w:val="0"/>
          <w:color w:val="14213D"/>
          <w:sz w:val="30"/>
          <w:rtl/>
          <w:szCs w:val="30"/>
          <w:bCs/>
        </w:rPr>
        <w:t>الباب السادس: تقييم الأداء والتدريب</w:t>
      </w:r>
    </w:p>
    <w:p>
      <w:pPr>
        <w:bidi/>
        <w:spacing w:before="0" w:after="120" w:line="300" w:lineRule="auto"/>
        <w:jc w:val="both"/>
      </w:pPr>
      <w:r>
        <w:rPr>
          <w:rFonts w:ascii="Arial" w:hAnsi="Arial" w:cs="Arial"/>
          <w:b w:val="0"/>
          <w:i w:val="0"/>
          <w:color w:val="000000"/>
          <w:sz w:val="22"/>
          <w:rtl/>
          <w:szCs w:val="22"/>
        </w:rPr>
        <w:t>يُقيم أداء العامل مرة [سنويًا] بنموذج تقييم معتمد ومعايير معلنة مسبقًا، ويُناقش المدير المباشر التقييم مع العامل ويوقعه الطرفان. ويُستخدم التقييم في العلاوات والترقيات وتحديد احتياجات التدريب. وتعد الموارد البشرية خطة تدريب سنوية في حدود الميزانية المعتمدة.</w:t>
      </w:r>
    </w:p>
    <w:p>
      <w:pPr>
        <w:bidi/>
        <w:spacing w:before="280" w:after="120" w:line="300" w:lineRule="auto"/>
        <w:pBdr>
          <w:bottom w:val="single" w:sz="8" w:space="4" w:color="B08D57"/>
        </w:pBdr>
      </w:pPr>
      <w:r>
        <w:rPr>
          <w:rFonts w:ascii="Arial" w:hAnsi="Arial" w:cs="Arial"/>
          <w:b/>
          <w:i w:val="0"/>
          <w:color w:val="14213D"/>
          <w:sz w:val="30"/>
          <w:rtl/>
          <w:szCs w:val="30"/>
          <w:bCs/>
        </w:rPr>
        <w:t>الباب السابع: السلوك المهني والجزاءات</w:t>
      </w:r>
    </w:p>
    <w:p>
      <w:pPr>
        <w:bidi/>
        <w:spacing w:before="160" w:after="80" w:line="300" w:lineRule="auto"/>
      </w:pPr>
      <w:r>
        <w:rPr>
          <w:rFonts w:ascii="Arial" w:hAnsi="Arial" w:cs="Arial"/>
          <w:b/>
          <w:i w:val="0"/>
          <w:color w:val="14213D"/>
          <w:sz w:val="25"/>
          <w:rtl/>
          <w:szCs w:val="25"/>
          <w:bCs/>
        </w:rPr>
        <w:t>واجبات العامل</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أداء العمل بنفسه بدقة وأمانة، والمحافظة على مواعيد العمل وأدواته وأسرار الشركة.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الإفصاح عن أي تعارض مصالح، وعدم قبول هدايا أو مزايا من العملاء أو الموردين تزيد على [قيمة رمزية].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الالتزام بقواعد السلامة المهنية وحسن معاملة الزملاء والعملاء.</w:t>
      </w:r>
    </w:p>
    <w:p>
      <w:pPr>
        <w:bidi/>
        <w:spacing w:before="160" w:after="80" w:line="300" w:lineRule="auto"/>
      </w:pPr>
      <w:r>
        <w:rPr>
          <w:rFonts w:ascii="Arial" w:hAnsi="Arial" w:cs="Arial"/>
          <w:b/>
          <w:i w:val="0"/>
          <w:color w:val="14213D"/>
          <w:sz w:val="25"/>
          <w:rtl/>
          <w:szCs w:val="25"/>
          <w:bCs/>
        </w:rPr>
        <w:t>تدرج الجزاءات</w:t>
      </w:r>
    </w:p>
    <w:p>
      <w:pPr>
        <w:bidi/>
        <w:spacing w:before="0" w:after="120" w:line="300" w:lineRule="auto"/>
        <w:jc w:val="both"/>
      </w:pPr>
      <w:r>
        <w:rPr>
          <w:rFonts w:ascii="Arial" w:hAnsi="Arial" w:cs="Arial"/>
          <w:b w:val="0"/>
          <w:i w:val="0"/>
          <w:color w:val="000000"/>
          <w:sz w:val="22"/>
          <w:rtl/>
          <w:szCs w:val="22"/>
        </w:rPr>
        <w:t>لا يُوقع جزاء على العامل إلا بعد إبلاغه كتابة بما نُسب إليه وسماع أقواله وتحقيق دفاعه، ويُراعى التدرج: لفت نظر، ثم إنذار كتابي، ثم خصم من الأجر في الحدود القانونية، ثم تأجيل العلاوة أو الحرمان منها، ثم الفصل في الحالات التي يحددها القانون.</w:t>
      </w:r>
    </w:p>
    <w:tbl>
      <w:tblPr>
        <w:tblStyle w:val="TableGrid"/>
        <w:tblW w:type="auto" w:w="0"/>
        <w:jc w:val="center"/>
        <w:tblLook w:firstColumn="1" w:firstRow="1" w:lastColumn="0" w:lastRow="0" w:noHBand="0" w:noVBand="1" w:val="04A0"/>
        <w:bidiVisual/>
      </w:tblPr>
      <w:tblGrid>
        <w:gridCol w:w="2409"/>
        <w:gridCol w:w="2409"/>
        <w:gridCol w:w="2409"/>
        <w:gridCol w:w="2409"/>
      </w:tblGrid>
      <w:tr>
        <w:tc>
          <w:tcPr>
            <w:tcW w:type="dxa" w:w="3402"/>
            <w:shd w:val="clear" w:color="auto" w:fill="14213D"/>
          </w:tcPr>
          <w:p>
            <w:pPr>
              <w:bidi/>
              <w:spacing w:after="20"/>
            </w:pPr>
            <w:r>
              <w:rPr>
                <w:rFonts w:ascii="Arial" w:hAnsi="Arial" w:cs="Arial"/>
                <w:b/>
                <w:i w:val="0"/>
                <w:color w:val="FFFFFF"/>
                <w:sz w:val="20"/>
                <w:rtl/>
                <w:szCs w:val="20"/>
                <w:bCs/>
              </w:rPr>
              <w:t>المخالفة</w:t>
            </w:r>
          </w:p>
        </w:tc>
        <w:tc>
          <w:tcPr>
            <w:tcW w:type="dxa" w:w="1871"/>
            <w:shd w:val="clear" w:color="auto" w:fill="14213D"/>
          </w:tcPr>
          <w:p>
            <w:pPr>
              <w:bidi/>
              <w:spacing w:after="20"/>
            </w:pPr>
            <w:r>
              <w:rPr>
                <w:rFonts w:ascii="Arial" w:hAnsi="Arial" w:cs="Arial"/>
                <w:b/>
                <w:i w:val="0"/>
                <w:color w:val="FFFFFF"/>
                <w:sz w:val="20"/>
                <w:rtl/>
                <w:szCs w:val="20"/>
                <w:bCs/>
              </w:rPr>
              <w:t>أول مرة</w:t>
            </w:r>
          </w:p>
        </w:tc>
        <w:tc>
          <w:tcPr>
            <w:tcW w:type="dxa" w:w="1871"/>
            <w:shd w:val="clear" w:color="auto" w:fill="14213D"/>
          </w:tcPr>
          <w:p>
            <w:pPr>
              <w:bidi/>
              <w:spacing w:after="20"/>
            </w:pPr>
            <w:r>
              <w:rPr>
                <w:rFonts w:ascii="Arial" w:hAnsi="Arial" w:cs="Arial"/>
                <w:b/>
                <w:i w:val="0"/>
                <w:color w:val="FFFFFF"/>
                <w:sz w:val="20"/>
                <w:rtl/>
                <w:szCs w:val="20"/>
                <w:bCs/>
              </w:rPr>
              <w:t>ثاني مرة</w:t>
            </w:r>
          </w:p>
        </w:tc>
        <w:tc>
          <w:tcPr>
            <w:tcW w:type="dxa" w:w="1871"/>
            <w:shd w:val="clear" w:color="auto" w:fill="14213D"/>
          </w:tcPr>
          <w:p>
            <w:pPr>
              <w:bidi/>
              <w:spacing w:after="20"/>
            </w:pPr>
            <w:r>
              <w:rPr>
                <w:rFonts w:ascii="Arial" w:hAnsi="Arial" w:cs="Arial"/>
                <w:b/>
                <w:i w:val="0"/>
                <w:color w:val="FFFFFF"/>
                <w:sz w:val="20"/>
                <w:rtl/>
                <w:szCs w:val="20"/>
                <w:bCs/>
              </w:rPr>
              <w:t>ثالث مرة</w:t>
            </w:r>
          </w:p>
        </w:tc>
      </w:tr>
      <w:tr>
        <w:tc>
          <w:tcPr>
            <w:tcW w:type="dxa" w:w="3402"/>
          </w:tcPr>
          <w:p>
            <w:pPr>
              <w:bidi/>
              <w:spacing w:after="20"/>
            </w:pPr>
            <w:r>
              <w:rPr>
                <w:rFonts w:ascii="Arial" w:hAnsi="Arial" w:cs="Arial"/>
                <w:b w:val="0"/>
                <w:i w:val="0"/>
                <w:color w:val="000000"/>
                <w:sz w:val="20"/>
                <w:rtl/>
                <w:szCs w:val="20"/>
              </w:rPr>
              <w:t>التأخير أكثر من 15 دقيقة دون إذن</w:t>
            </w:r>
          </w:p>
        </w:tc>
        <w:tc>
          <w:tcPr>
            <w:tcW w:type="dxa" w:w="1871"/>
          </w:tcPr>
          <w:p>
            <w:pPr>
              <w:bidi/>
              <w:spacing w:after="20"/>
            </w:pPr>
            <w:r>
              <w:rPr>
                <w:rFonts w:ascii="Arial" w:hAnsi="Arial" w:cs="Arial"/>
                <w:b w:val="0"/>
                <w:i w:val="0"/>
                <w:color w:val="000000"/>
                <w:sz w:val="20"/>
                <w:rtl/>
                <w:szCs w:val="20"/>
              </w:rPr>
              <w:t>لفت نظر</w:t>
            </w:r>
          </w:p>
        </w:tc>
        <w:tc>
          <w:tcPr>
            <w:tcW w:type="dxa" w:w="1871"/>
          </w:tcPr>
          <w:p>
            <w:pPr>
              <w:bidi/>
              <w:spacing w:after="20"/>
            </w:pPr>
            <w:r>
              <w:rPr>
                <w:rFonts w:ascii="Arial" w:hAnsi="Arial" w:cs="Arial"/>
                <w:b w:val="0"/>
                <w:i w:val="0"/>
                <w:color w:val="000000"/>
                <w:sz w:val="20"/>
                <w:rtl/>
                <w:szCs w:val="20"/>
              </w:rPr>
              <w:t>خصم ربع يوم</w:t>
            </w:r>
          </w:p>
        </w:tc>
        <w:tc>
          <w:tcPr>
            <w:tcW w:type="dxa" w:w="1871"/>
          </w:tcPr>
          <w:p>
            <w:pPr>
              <w:bidi/>
              <w:spacing w:after="20"/>
            </w:pPr>
            <w:r>
              <w:rPr>
                <w:rFonts w:ascii="Arial" w:hAnsi="Arial" w:cs="Arial"/>
                <w:b w:val="0"/>
                <w:i w:val="0"/>
                <w:color w:val="000000"/>
                <w:sz w:val="20"/>
                <w:rtl/>
                <w:szCs w:val="20"/>
              </w:rPr>
              <w:t>خصم نصف يوم</w:t>
            </w:r>
          </w:p>
        </w:tc>
      </w:tr>
      <w:tr>
        <w:tc>
          <w:tcPr>
            <w:tcW w:type="dxa" w:w="3402"/>
          </w:tcPr>
          <w:p>
            <w:pPr>
              <w:bidi/>
              <w:spacing w:after="20"/>
            </w:pPr>
            <w:r>
              <w:rPr>
                <w:rFonts w:ascii="Arial" w:hAnsi="Arial" w:cs="Arial"/>
                <w:b w:val="0"/>
                <w:i w:val="0"/>
                <w:color w:val="000000"/>
                <w:sz w:val="20"/>
                <w:rtl/>
                <w:szCs w:val="20"/>
              </w:rPr>
              <w:t>الغياب يومًا دون إذن أو عذر</w:t>
            </w:r>
          </w:p>
        </w:tc>
        <w:tc>
          <w:tcPr>
            <w:tcW w:type="dxa" w:w="1871"/>
          </w:tcPr>
          <w:p>
            <w:pPr>
              <w:bidi/>
              <w:spacing w:after="20"/>
            </w:pPr>
            <w:r>
              <w:rPr>
                <w:rFonts w:ascii="Arial" w:hAnsi="Arial" w:cs="Arial"/>
                <w:b w:val="0"/>
                <w:i w:val="0"/>
                <w:color w:val="000000"/>
                <w:sz w:val="20"/>
                <w:rtl/>
                <w:szCs w:val="20"/>
              </w:rPr>
              <w:t>خصم يوم</w:t>
            </w:r>
          </w:p>
        </w:tc>
        <w:tc>
          <w:tcPr>
            <w:tcW w:type="dxa" w:w="1871"/>
          </w:tcPr>
          <w:p>
            <w:pPr>
              <w:bidi/>
              <w:spacing w:after="20"/>
            </w:pPr>
            <w:r>
              <w:rPr>
                <w:rFonts w:ascii="Arial" w:hAnsi="Arial" w:cs="Arial"/>
                <w:b w:val="0"/>
                <w:i w:val="0"/>
                <w:color w:val="000000"/>
                <w:sz w:val="20"/>
                <w:rtl/>
                <w:szCs w:val="20"/>
              </w:rPr>
              <w:t>خصم يومين</w:t>
            </w:r>
          </w:p>
        </w:tc>
        <w:tc>
          <w:tcPr>
            <w:tcW w:type="dxa" w:w="1871"/>
          </w:tcPr>
          <w:p>
            <w:pPr>
              <w:bidi/>
              <w:spacing w:after="20"/>
            </w:pPr>
            <w:r>
              <w:rPr>
                <w:rFonts w:ascii="Arial" w:hAnsi="Arial" w:cs="Arial"/>
                <w:b w:val="0"/>
                <w:i w:val="0"/>
                <w:color w:val="000000"/>
                <w:sz w:val="20"/>
                <w:rtl/>
                <w:szCs w:val="20"/>
              </w:rPr>
              <w:t>خصم ثلاثة أيام</w:t>
            </w:r>
          </w:p>
        </w:tc>
      </w:tr>
      <w:tr>
        <w:tc>
          <w:tcPr>
            <w:tcW w:type="dxa" w:w="3402"/>
          </w:tcPr>
          <w:p>
            <w:pPr>
              <w:bidi/>
              <w:spacing w:after="20"/>
            </w:pPr>
            <w:r>
              <w:rPr>
                <w:rFonts w:ascii="Arial" w:hAnsi="Arial" w:cs="Arial"/>
                <w:b w:val="0"/>
                <w:i w:val="0"/>
                <w:color w:val="000000"/>
                <w:sz w:val="20"/>
                <w:rtl/>
                <w:szCs w:val="20"/>
              </w:rPr>
              <w:t>مغادرة العمل قبل الموعد دون إذن</w:t>
            </w:r>
          </w:p>
        </w:tc>
        <w:tc>
          <w:tcPr>
            <w:tcW w:type="dxa" w:w="1871"/>
          </w:tcPr>
          <w:p>
            <w:pPr>
              <w:bidi/>
              <w:spacing w:after="20"/>
            </w:pPr>
            <w:r>
              <w:rPr>
                <w:rFonts w:ascii="Arial" w:hAnsi="Arial" w:cs="Arial"/>
                <w:b w:val="0"/>
                <w:i w:val="0"/>
                <w:color w:val="000000"/>
                <w:sz w:val="20"/>
                <w:rtl/>
                <w:szCs w:val="20"/>
              </w:rPr>
              <w:t>إنذار</w:t>
            </w:r>
          </w:p>
        </w:tc>
        <w:tc>
          <w:tcPr>
            <w:tcW w:type="dxa" w:w="1871"/>
          </w:tcPr>
          <w:p>
            <w:pPr>
              <w:bidi/>
              <w:spacing w:after="20"/>
            </w:pPr>
            <w:r>
              <w:rPr>
                <w:rFonts w:ascii="Arial" w:hAnsi="Arial" w:cs="Arial"/>
                <w:b w:val="0"/>
                <w:i w:val="0"/>
                <w:color w:val="000000"/>
                <w:sz w:val="20"/>
                <w:rtl/>
                <w:szCs w:val="20"/>
              </w:rPr>
              <w:t>خصم نصف يوم</w:t>
            </w:r>
          </w:p>
        </w:tc>
        <w:tc>
          <w:tcPr>
            <w:tcW w:type="dxa" w:w="1871"/>
          </w:tcPr>
          <w:p>
            <w:pPr>
              <w:bidi/>
              <w:spacing w:after="20"/>
            </w:pPr>
            <w:r>
              <w:rPr>
                <w:rFonts w:ascii="Arial" w:hAnsi="Arial" w:cs="Arial"/>
                <w:b w:val="0"/>
                <w:i w:val="0"/>
                <w:color w:val="000000"/>
                <w:sz w:val="20"/>
                <w:rtl/>
                <w:szCs w:val="20"/>
              </w:rPr>
              <w:t>خصم يوم</w:t>
            </w:r>
          </w:p>
        </w:tc>
      </w:tr>
      <w:tr>
        <w:tc>
          <w:tcPr>
            <w:tcW w:type="dxa" w:w="3402"/>
          </w:tcPr>
          <w:p>
            <w:pPr>
              <w:bidi/>
              <w:spacing w:after="20"/>
            </w:pPr>
            <w:r>
              <w:rPr>
                <w:rFonts w:ascii="Arial" w:hAnsi="Arial" w:cs="Arial"/>
                <w:b w:val="0"/>
                <w:i w:val="0"/>
                <w:color w:val="000000"/>
                <w:sz w:val="20"/>
                <w:rtl/>
                <w:szCs w:val="20"/>
              </w:rPr>
              <w:t>مخالفة تعليمات السلامة</w:t>
            </w:r>
          </w:p>
        </w:tc>
        <w:tc>
          <w:tcPr>
            <w:tcW w:type="dxa" w:w="1871"/>
          </w:tcPr>
          <w:p>
            <w:pPr>
              <w:bidi/>
              <w:spacing w:after="20"/>
            </w:pPr>
            <w:r>
              <w:rPr>
                <w:rFonts w:ascii="Arial" w:hAnsi="Arial" w:cs="Arial"/>
                <w:b w:val="0"/>
                <w:i w:val="0"/>
                <w:color w:val="000000"/>
                <w:sz w:val="20"/>
                <w:rtl/>
                <w:szCs w:val="20"/>
              </w:rPr>
              <w:t>إنذار</w:t>
            </w:r>
          </w:p>
        </w:tc>
        <w:tc>
          <w:tcPr>
            <w:tcW w:type="dxa" w:w="1871"/>
          </w:tcPr>
          <w:p>
            <w:pPr>
              <w:bidi/>
              <w:spacing w:after="20"/>
            </w:pPr>
            <w:r>
              <w:rPr>
                <w:rFonts w:ascii="Arial" w:hAnsi="Arial" w:cs="Arial"/>
                <w:b w:val="0"/>
                <w:i w:val="0"/>
                <w:color w:val="000000"/>
                <w:sz w:val="20"/>
                <w:rtl/>
                <w:szCs w:val="20"/>
              </w:rPr>
              <w:t>خصم يوم</w:t>
            </w:r>
          </w:p>
        </w:tc>
        <w:tc>
          <w:tcPr>
            <w:tcW w:type="dxa" w:w="1871"/>
          </w:tcPr>
          <w:p>
            <w:pPr>
              <w:bidi/>
              <w:spacing w:after="20"/>
            </w:pPr>
            <w:r>
              <w:rPr>
                <w:rFonts w:ascii="Arial" w:hAnsi="Arial" w:cs="Arial"/>
                <w:b w:val="0"/>
                <w:i w:val="0"/>
                <w:color w:val="000000"/>
                <w:sz w:val="20"/>
                <w:rtl/>
                <w:szCs w:val="20"/>
              </w:rPr>
              <w:t>خصم ثلاثة أيام</w:t>
            </w:r>
          </w:p>
        </w:tc>
      </w:tr>
    </w:tbl>
    <w:p>
      <w:pPr>
        <w:bidi/>
        <w:spacing w:before="0" w:after="120" w:line="300" w:lineRule="auto"/>
      </w:pPr>
    </w:p>
    <w:p>
      <w:pPr>
        <w:bidi/>
        <w:spacing w:before="40" w:after="160" w:line="300" w:lineRule="auto"/>
      </w:pPr>
      <w:r>
        <w:rPr>
          <w:rFonts w:ascii="Arial" w:hAnsi="Arial" w:cs="Arial"/>
          <w:b w:val="0"/>
          <w:i/>
          <w:color w:val="595959"/>
          <w:sz w:val="20"/>
          <w:rtl/>
          <w:szCs w:val="20"/>
        </w:rPr>
        <w:t>الجدول مثال؛ يجب أن يطابق لائحة الجزاءات المعتمدة من الجهة المختصة في بلدك.</w:t>
      </w:r>
    </w:p>
    <w:p>
      <w:pPr>
        <w:bidi/>
        <w:spacing w:before="280" w:after="120" w:line="300" w:lineRule="auto"/>
        <w:pBdr>
          <w:bottom w:val="single" w:sz="8" w:space="4" w:color="B08D57"/>
        </w:pBdr>
      </w:pPr>
      <w:r>
        <w:rPr>
          <w:rFonts w:ascii="Arial" w:hAnsi="Arial" w:cs="Arial"/>
          <w:b/>
          <w:i w:val="0"/>
          <w:color w:val="14213D"/>
          <w:sz w:val="30"/>
          <w:rtl/>
          <w:szCs w:val="30"/>
          <w:bCs/>
        </w:rPr>
        <w:t>الباب الثامن: انتهاء الخدمة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تنتهي الخدمة بانتهاء مدة العقد المحدد، أو الاستقالة مع مراعاة مدة الإخطار، أو بلوغ سن التقاعد، أو الفصل وفق القانون، أو العجز، أو الوفاة.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يلتزم العامل المستقيل بإخطار [شهر / شهرين] وتسليم ما بعهدته، ولا تُصرف مستحقاته إلا بعد إخلاء الطرف.</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تُصرف مستحقات نهاية الخدمة وفق القانون خلال [....] يومًا من انتهاء الخدمة، ويُسلم العامل شهادة خبرة.</w:t>
      </w:r>
    </w:p>
    <w:p>
      <w:pPr>
        <w:bidi/>
        <w:spacing w:before="280" w:after="120" w:line="300" w:lineRule="auto"/>
        <w:pBdr>
          <w:bottom w:val="single" w:sz="8" w:space="4" w:color="B08D57"/>
        </w:pBdr>
      </w:pPr>
      <w:r>
        <w:rPr>
          <w:rFonts w:ascii="Arial" w:hAnsi="Arial" w:cs="Arial"/>
          <w:b/>
          <w:i w:val="0"/>
          <w:color w:val="14213D"/>
          <w:sz w:val="30"/>
          <w:rtl/>
          <w:szCs w:val="30"/>
          <w:bCs/>
        </w:rPr>
        <w:t>الباب التاسع: أحكام ختامية</w:t>
      </w:r>
    </w:p>
    <w:p>
      <w:pPr>
        <w:bidi/>
        <w:spacing w:before="0" w:after="120" w:line="300" w:lineRule="auto"/>
        <w:jc w:val="both"/>
      </w:pPr>
      <w:r>
        <w:rPr>
          <w:rFonts w:ascii="Arial" w:hAnsi="Arial" w:cs="Arial"/>
          <w:b w:val="0"/>
          <w:i w:val="0"/>
          <w:color w:val="000000"/>
          <w:sz w:val="22"/>
          <w:rtl/>
          <w:szCs w:val="22"/>
        </w:rPr>
        <w:t>يُعمل بهذه اللائحة من تاريخ اعتمادها، ويُبلغ بها جميع العاملين ويوقعون بالعلم، وتُعلق في مكان ظاهر. ولا يُعدل فيها إلا بقرار من [المدير العام] بعد [عرضها على الجهة المختصة إن تطلب القانون ذلك].</w:t>
      </w:r>
    </w:p>
    <w:tbl>
      <w:tblPr>
        <w:tblStyle w:val="TableGrid"/>
        <w:tblW w:type="auto" w:w="0"/>
        <w:tblLook w:firstColumn="1" w:firstRow="1" w:lastColumn="0" w:lastRow="0" w:noHBand="0" w:noVBand="1" w:val="04A0"/>
        <w:bidiVisual/>
      </w:tblPr>
      <w:tblGrid>
        <w:gridCol w:w="3213"/>
        <w:gridCol w:w="3213"/>
        <w:gridCol w:w="3213"/>
      </w:tblGrid>
      <w:tr>
        <w:tc>
          <w:tcPr>
            <w:tcW w:type="dxa" w:w="3213"/>
            <w:shd w:val="clear" w:color="auto" w:fill="14213D"/>
          </w:tcPr>
          <w:p>
            <w:pPr>
              <w:bidi/>
              <w:spacing w:after="20"/>
            </w:pPr>
            <w:r>
              <w:rPr>
                <w:rFonts w:ascii="Arial" w:hAnsi="Arial" w:cs="Arial"/>
                <w:b/>
                <w:i w:val="0"/>
                <w:color w:val="FFFFFF"/>
                <w:sz w:val="20"/>
                <w:rtl/>
                <w:szCs w:val="20"/>
                <w:bCs/>
              </w:rPr>
              <w:t>إعداد: مدير الموارد البشرية</w:t>
            </w:r>
          </w:p>
        </w:tc>
        <w:tc>
          <w:tcPr>
            <w:tcW w:type="dxa" w:w="3213"/>
            <w:shd w:val="clear" w:color="auto" w:fill="14213D"/>
          </w:tcPr>
          <w:p>
            <w:pPr>
              <w:bidi/>
              <w:spacing w:after="20"/>
            </w:pPr>
            <w:r>
              <w:rPr>
                <w:rFonts w:ascii="Arial" w:hAnsi="Arial" w:cs="Arial"/>
                <w:b/>
                <w:i w:val="0"/>
                <w:color w:val="FFFFFF"/>
                <w:sz w:val="20"/>
                <w:rtl/>
                <w:szCs w:val="20"/>
                <w:bCs/>
              </w:rPr>
              <w:t>مراجعة: المستشار القانوني</w:t>
            </w:r>
          </w:p>
        </w:tc>
        <w:tc>
          <w:tcPr>
            <w:tcW w:type="dxa" w:w="3213"/>
            <w:shd w:val="clear" w:color="auto" w:fill="14213D"/>
          </w:tcPr>
          <w:p>
            <w:pPr>
              <w:bidi/>
              <w:spacing w:after="20"/>
            </w:pPr>
            <w:r>
              <w:rPr>
                <w:rFonts w:ascii="Arial" w:hAnsi="Arial" w:cs="Arial"/>
                <w:b/>
                <w:i w:val="0"/>
                <w:color w:val="FFFFFF"/>
                <w:sz w:val="20"/>
                <w:rtl/>
                <w:szCs w:val="20"/>
                <w:bCs/>
              </w:rPr>
              <w:t>اعتماد: المدير العام</w:t>
            </w:r>
          </w:p>
        </w:tc>
      </w:tr>
      <w:tr>
        <w:tc>
          <w:tcPr>
            <w:tcW w:type="dxa" w:w="3213"/>
          </w:tcPr>
          <w:p>
            <w:pPr>
              <w:bidi/>
              <w:spacing w:after="20"/>
            </w:pPr>
            <w:r>
              <w:rPr>
                <w:rFonts w:ascii="Arial" w:hAnsi="Arial" w:cs="Arial"/>
                <w:b w:val="0"/>
                <w:i w:val="0"/>
                <w:color w:val="000000"/>
                <w:sz w:val="20"/>
                <w:rtl/>
                <w:szCs w:val="20"/>
              </w:rPr>
              <w:t>الاسم:</w:t>
            </w:r>
          </w:p>
        </w:tc>
        <w:tc>
          <w:tcPr>
            <w:tcW w:type="dxa" w:w="3213"/>
          </w:tcPr>
          <w:p>
            <w:pPr>
              <w:bidi/>
              <w:spacing w:after="20"/>
            </w:pPr>
            <w:r>
              <w:rPr>
                <w:rFonts w:ascii="Arial" w:hAnsi="Arial" w:cs="Arial"/>
                <w:b w:val="0"/>
                <w:i w:val="0"/>
                <w:color w:val="000000"/>
                <w:sz w:val="20"/>
                <w:rtl/>
                <w:szCs w:val="20"/>
              </w:rPr>
              <w:t>الاسم:</w:t>
            </w:r>
          </w:p>
        </w:tc>
        <w:tc>
          <w:tcPr>
            <w:tcW w:type="dxa" w:w="3213"/>
          </w:tcPr>
          <w:p>
            <w:pPr>
              <w:bidi/>
              <w:spacing w:after="20"/>
            </w:pPr>
            <w:r>
              <w:rPr>
                <w:rFonts w:ascii="Arial" w:hAnsi="Arial" w:cs="Arial"/>
                <w:b w:val="0"/>
                <w:i w:val="0"/>
                <w:color w:val="000000"/>
                <w:sz w:val="20"/>
                <w:rtl/>
                <w:szCs w:val="20"/>
              </w:rPr>
              <w:t>الاسم:</w:t>
            </w:r>
          </w:p>
        </w:tc>
      </w:tr>
      <w:tr>
        <w:tc>
          <w:tcPr>
            <w:tcW w:type="dxa" w:w="3213"/>
          </w:tcPr>
          <w:p>
            <w:pPr>
              <w:bidi/>
              <w:spacing w:after="20"/>
            </w:pPr>
            <w:r>
              <w:rPr>
                <w:rFonts w:ascii="Arial" w:hAnsi="Arial" w:cs="Arial"/>
                <w:b w:val="0"/>
                <w:i w:val="0"/>
                <w:color w:val="000000"/>
                <w:sz w:val="20"/>
                <w:rtl/>
                <w:szCs w:val="20"/>
              </w:rPr>
              <w:t>التوقيع والتاريخ:</w:t>
            </w:r>
          </w:p>
        </w:tc>
        <w:tc>
          <w:tcPr>
            <w:tcW w:type="dxa" w:w="3213"/>
          </w:tcPr>
          <w:p>
            <w:pPr>
              <w:bidi/>
              <w:spacing w:after="20"/>
            </w:pPr>
            <w:r>
              <w:rPr>
                <w:rFonts w:ascii="Arial" w:hAnsi="Arial" w:cs="Arial"/>
                <w:b w:val="0"/>
                <w:i w:val="0"/>
                <w:color w:val="000000"/>
                <w:sz w:val="20"/>
                <w:rtl/>
                <w:szCs w:val="20"/>
              </w:rPr>
              <w:t>التوقيع والتاريخ:</w:t>
            </w:r>
          </w:p>
        </w:tc>
        <w:tc>
          <w:tcPr>
            <w:tcW w:type="dxa" w:w="3213"/>
          </w:tcPr>
          <w:p>
            <w:pPr>
              <w:bidi/>
              <w:spacing w:after="20"/>
            </w:pPr>
            <w:r>
              <w:rPr>
                <w:rFonts w:ascii="Arial" w:hAnsi="Arial" w:cs="Arial"/>
                <w:b w:val="0"/>
                <w:i w:val="0"/>
                <w:color w:val="000000"/>
                <w:sz w:val="20"/>
                <w:rtl/>
                <w:szCs w:val="20"/>
              </w:rPr>
              <w:t>التوقيع والتاريخ:</w:t>
            </w:r>
          </w:p>
        </w:tc>
      </w:tr>
    </w:tbl>
    <w:p>
      <w:pPr>
        <w:bidi/>
        <w:spacing w:before="0" w:after="160" w:line="300" w:lineRule="auto"/>
      </w:pP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i w:val="0"/>
        <w:color w:val="595959"/>
        <w:sz w:val="17"/>
        <w:rtl/>
        <w:szCs w:val="17"/>
      </w:rPr>
      <w:t xml:space="preserve">نموذج مجاني من www.aam-web.com/templates  -  صفحة </w:t>
    </w:r>
    <w: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Header"/>
      <w:pBdr>
        <w:bottom w:val="single" w:sz="6" w:space="4" w:color="B08D57"/>
      </w:pBdr>
    </w:pPr>
    <w:r>
      <w:rPr>
        <w:rFonts w:ascii="Arial" w:hAnsi="Arial" w:cs="Arial"/>
        <w:b w:val="0"/>
        <w:i w:val="0"/>
        <w:color w:val="595959"/>
        <w:sz w:val="17"/>
        <w:rtl/>
        <w:szCs w:val="17"/>
      </w:rPr>
      <w:t>مجلة المحاسب العربي  |  لائحة شؤون العاملين (نموذج)</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